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B869E" w14:textId="3A16AC47" w:rsidR="00410AEB" w:rsidRDefault="00784BD9" w:rsidP="7B602398">
      <w:pPr>
        <w:spacing w:before="15" w:line="264" w:lineRule="exact"/>
        <w:jc w:val="center"/>
        <w:textAlignment w:val="baseline"/>
        <w:rPr>
          <w:rFonts w:eastAsia="Times New Roman"/>
          <w:b/>
          <w:bCs/>
          <w:color w:val="000000"/>
          <w:sz w:val="24"/>
          <w:szCs w:val="24"/>
          <w:u w:val="single"/>
        </w:rPr>
      </w:pPr>
      <w:r w:rsidRPr="7B602398">
        <w:rPr>
          <w:rFonts w:eastAsia="Times New Roman"/>
          <w:b/>
          <w:bCs/>
          <w:color w:val="000000" w:themeColor="text1"/>
          <w:sz w:val="24"/>
          <w:szCs w:val="24"/>
          <w:u w:val="single"/>
        </w:rPr>
        <w:t>GRAPHEX GROUP LIMITED</w:t>
      </w:r>
      <w:r w:rsidR="00163AB1" w:rsidRPr="7B602398">
        <w:rPr>
          <w:rFonts w:eastAsia="Times New Roman"/>
          <w:b/>
          <w:bCs/>
          <w:color w:val="000000" w:themeColor="text1"/>
          <w:sz w:val="24"/>
          <w:szCs w:val="24"/>
          <w:u w:val="single"/>
        </w:rPr>
        <w:t xml:space="preserve"> </w:t>
      </w:r>
    </w:p>
    <w:p w14:paraId="4EB825F4" w14:textId="77777777" w:rsidR="00410AEB" w:rsidRDefault="00163AB1">
      <w:pPr>
        <w:spacing w:before="249" w:line="264" w:lineRule="exact"/>
        <w:jc w:val="center"/>
        <w:textAlignment w:val="baseline"/>
        <w:rPr>
          <w:rFonts w:eastAsia="Times New Roman"/>
          <w:b/>
          <w:color w:val="000000"/>
          <w:sz w:val="24"/>
          <w:u w:val="single"/>
        </w:rPr>
      </w:pPr>
      <w:r>
        <w:rPr>
          <w:rFonts w:eastAsia="Times New Roman"/>
          <w:b/>
          <w:color w:val="000000"/>
          <w:sz w:val="24"/>
          <w:u w:val="single"/>
        </w:rPr>
        <w:t>TRANSACTIONS WITH RELATED PERSONS POLICIES AND PROCEDURES</w:t>
      </w:r>
    </w:p>
    <w:p w14:paraId="0994D138" w14:textId="77777777" w:rsidR="00410AEB" w:rsidRDefault="00163AB1">
      <w:pPr>
        <w:spacing w:before="255" w:line="273" w:lineRule="exact"/>
        <w:textAlignment w:val="baseline"/>
        <w:rPr>
          <w:rFonts w:eastAsia="Times New Roman"/>
          <w:color w:val="000000"/>
          <w:sz w:val="24"/>
          <w:u w:val="single"/>
        </w:rPr>
      </w:pPr>
      <w:r>
        <w:rPr>
          <w:rFonts w:eastAsia="Times New Roman"/>
          <w:color w:val="000000"/>
          <w:sz w:val="24"/>
          <w:u w:val="single"/>
        </w:rPr>
        <w:t>Policy</w:t>
      </w:r>
    </w:p>
    <w:p w14:paraId="2D2B0113" w14:textId="27B62CFE" w:rsidR="00410AEB" w:rsidRDefault="00784BD9" w:rsidP="7B602398">
      <w:pPr>
        <w:spacing w:before="236" w:line="276" w:lineRule="exact"/>
        <w:ind w:firstLine="720"/>
        <w:textAlignment w:val="baseline"/>
        <w:rPr>
          <w:rFonts w:eastAsia="Times New Roman"/>
          <w:color w:val="000000"/>
          <w:sz w:val="24"/>
          <w:szCs w:val="24"/>
        </w:rPr>
      </w:pPr>
      <w:r w:rsidRPr="7B602398">
        <w:rPr>
          <w:rFonts w:eastAsia="Times New Roman"/>
          <w:color w:val="000000" w:themeColor="text1"/>
          <w:sz w:val="24"/>
          <w:szCs w:val="24"/>
        </w:rPr>
        <w:t xml:space="preserve">Without prejudice to any additional applicable policies </w:t>
      </w:r>
      <w:r w:rsidR="00163AB1" w:rsidRPr="7B602398">
        <w:rPr>
          <w:rFonts w:eastAsia="Times New Roman"/>
          <w:color w:val="000000" w:themeColor="text1"/>
          <w:sz w:val="24"/>
          <w:szCs w:val="24"/>
        </w:rPr>
        <w:t>of the Board of Directors (the “</w:t>
      </w:r>
      <w:r w:rsidR="00163AB1" w:rsidRPr="7B602398">
        <w:rPr>
          <w:rFonts w:eastAsia="Times New Roman"/>
          <w:color w:val="000000" w:themeColor="text1"/>
          <w:sz w:val="24"/>
          <w:szCs w:val="24"/>
          <w:u w:val="single"/>
        </w:rPr>
        <w:t>Board</w:t>
      </w:r>
      <w:r w:rsidR="00163AB1" w:rsidRPr="7B602398">
        <w:rPr>
          <w:rFonts w:eastAsia="Times New Roman"/>
          <w:color w:val="000000" w:themeColor="text1"/>
          <w:sz w:val="24"/>
          <w:szCs w:val="24"/>
        </w:rPr>
        <w:t xml:space="preserve">”) of </w:t>
      </w:r>
      <w:r w:rsidRPr="7B602398">
        <w:rPr>
          <w:rFonts w:eastAsia="Times New Roman"/>
          <w:color w:val="000000" w:themeColor="text1"/>
          <w:sz w:val="24"/>
          <w:szCs w:val="24"/>
        </w:rPr>
        <w:t>Graphex Group Limited</w:t>
      </w:r>
      <w:r w:rsidR="00163AB1" w:rsidRPr="7B602398">
        <w:rPr>
          <w:rFonts w:eastAsia="Times New Roman"/>
          <w:color w:val="000000" w:themeColor="text1"/>
          <w:sz w:val="24"/>
          <w:szCs w:val="24"/>
        </w:rPr>
        <w:t xml:space="preserve"> (the “</w:t>
      </w:r>
      <w:r w:rsidR="00163AB1" w:rsidRPr="7B602398">
        <w:rPr>
          <w:rFonts w:eastAsia="Times New Roman"/>
          <w:color w:val="000000" w:themeColor="text1"/>
          <w:sz w:val="24"/>
          <w:szCs w:val="24"/>
          <w:u w:val="single"/>
        </w:rPr>
        <w:t>Company</w:t>
      </w:r>
      <w:r w:rsidR="00163AB1" w:rsidRPr="7B602398">
        <w:rPr>
          <w:rFonts w:eastAsia="Times New Roman"/>
          <w:color w:val="000000" w:themeColor="text1"/>
          <w:sz w:val="24"/>
          <w:szCs w:val="24"/>
        </w:rPr>
        <w:t>”)</w:t>
      </w:r>
      <w:r w:rsidRPr="7B602398">
        <w:rPr>
          <w:rFonts w:eastAsia="Times New Roman"/>
          <w:color w:val="000000" w:themeColor="text1"/>
          <w:sz w:val="24"/>
          <w:szCs w:val="24"/>
        </w:rPr>
        <w:t>, for so long as the Company has any securities listed on the NYSE American, LLC (the “</w:t>
      </w:r>
      <w:r w:rsidRPr="7B602398">
        <w:rPr>
          <w:rFonts w:eastAsia="Times New Roman"/>
          <w:color w:val="000000" w:themeColor="text1"/>
          <w:sz w:val="24"/>
          <w:szCs w:val="24"/>
          <w:u w:val="single"/>
        </w:rPr>
        <w:t>NYSE</w:t>
      </w:r>
      <w:r w:rsidRPr="7B602398">
        <w:rPr>
          <w:rFonts w:eastAsia="Times New Roman"/>
          <w:color w:val="000000" w:themeColor="text1"/>
          <w:sz w:val="24"/>
          <w:szCs w:val="24"/>
        </w:rPr>
        <w:t>”),</w:t>
      </w:r>
      <w:r w:rsidR="00163AB1" w:rsidRPr="7B602398">
        <w:rPr>
          <w:rFonts w:eastAsia="Times New Roman"/>
          <w:color w:val="000000" w:themeColor="text1"/>
          <w:sz w:val="24"/>
          <w:szCs w:val="24"/>
        </w:rPr>
        <w:t xml:space="preserve"> all Interested Transactions with Related Persons (each as defined in this Policy) will be subject to the procedures set forth below.</w:t>
      </w:r>
    </w:p>
    <w:p w14:paraId="65D5046D" w14:textId="77777777" w:rsidR="00410AEB" w:rsidRPr="00784BD9" w:rsidRDefault="00163AB1">
      <w:pPr>
        <w:spacing w:before="247" w:line="234" w:lineRule="exact"/>
        <w:textAlignment w:val="baseline"/>
        <w:rPr>
          <w:rFonts w:eastAsia="Times New Roman"/>
          <w:color w:val="000000"/>
          <w:sz w:val="24"/>
          <w:u w:val="single"/>
        </w:rPr>
      </w:pPr>
      <w:r w:rsidRPr="00784BD9">
        <w:rPr>
          <w:rFonts w:eastAsia="Times New Roman"/>
          <w:color w:val="000000"/>
          <w:sz w:val="24"/>
          <w:u w:val="single"/>
        </w:rPr>
        <w:t>Interested Transactions</w:t>
      </w:r>
    </w:p>
    <w:p w14:paraId="3817B139" w14:textId="6D0246D0" w:rsidR="00410AEB" w:rsidRDefault="00163AB1">
      <w:pPr>
        <w:spacing w:before="272" w:line="276" w:lineRule="exact"/>
        <w:ind w:firstLine="720"/>
        <w:jc w:val="both"/>
        <w:textAlignment w:val="baseline"/>
        <w:rPr>
          <w:rFonts w:eastAsia="Times New Roman"/>
          <w:color w:val="000000"/>
          <w:sz w:val="24"/>
        </w:rPr>
      </w:pPr>
      <w:r>
        <w:rPr>
          <w:rFonts w:eastAsia="Times New Roman"/>
          <w:color w:val="000000"/>
          <w:sz w:val="24"/>
        </w:rPr>
        <w:t>An “Interested Transaction” is any transaction, arrangement or relationship or series of similar transactions, arrangements or relationships (including any indebtedness or guarantee of indebtedness) in which (1) the aggregate amount involved will or may reasonably be expected to exceed $120,000 in any calendar year, (2) the Company or its subsidiaries or affiliates is a participant, and (3) any Related Person has or will have a direct or indirect interest (other than solely as a result of being a director or a less than 10% beneficial owner of another entity).</w:t>
      </w:r>
    </w:p>
    <w:p w14:paraId="7FF6B98F" w14:textId="77777777" w:rsidR="00410AEB" w:rsidRDefault="00163AB1">
      <w:pPr>
        <w:spacing w:before="236" w:line="277" w:lineRule="exact"/>
        <w:ind w:firstLine="720"/>
        <w:jc w:val="both"/>
        <w:textAlignment w:val="baseline"/>
        <w:rPr>
          <w:rFonts w:eastAsia="Times New Roman"/>
          <w:color w:val="000000"/>
          <w:sz w:val="24"/>
        </w:rPr>
      </w:pPr>
      <w:r>
        <w:rPr>
          <w:rFonts w:eastAsia="Times New Roman"/>
          <w:color w:val="000000"/>
          <w:sz w:val="24"/>
        </w:rPr>
        <w:t>A “Related Person” is any (1) director, nominee for director or executive officer of the Company and any Immediate Family Member of such person, and (2) any holder of 5% or more of any class of outstanding equity securities of the Company and any Immediate Family Member such person.</w:t>
      </w:r>
    </w:p>
    <w:p w14:paraId="3739ABB2" w14:textId="77777777" w:rsidR="00410AEB" w:rsidRDefault="00163AB1">
      <w:pPr>
        <w:spacing w:before="236" w:line="277" w:lineRule="exact"/>
        <w:ind w:firstLine="720"/>
        <w:jc w:val="both"/>
        <w:textAlignment w:val="baseline"/>
        <w:rPr>
          <w:rFonts w:eastAsia="Times New Roman"/>
          <w:color w:val="000000"/>
          <w:sz w:val="24"/>
        </w:rPr>
      </w:pPr>
      <w:r>
        <w:rPr>
          <w:rFonts w:eastAsia="Times New Roman"/>
          <w:color w:val="000000"/>
          <w:sz w:val="24"/>
        </w:rPr>
        <w:t>“Immediate Family Member” means (a) any child, stepchild, parent, stepparent, spouse, sibling, mother in law, father in law, son in law, daughter in law, brother in law or sister in law of the person in question and (b) any person (other than a tenant or employee) sharing the household of the person in question.</w:t>
      </w:r>
    </w:p>
    <w:p w14:paraId="3A7C922C" w14:textId="77777777" w:rsidR="00410AEB" w:rsidRDefault="00163AB1">
      <w:pPr>
        <w:spacing w:before="241" w:line="273" w:lineRule="exact"/>
        <w:textAlignment w:val="baseline"/>
        <w:rPr>
          <w:rFonts w:eastAsia="Times New Roman"/>
          <w:color w:val="000000"/>
          <w:sz w:val="24"/>
          <w:u w:val="single"/>
        </w:rPr>
      </w:pPr>
      <w:r>
        <w:rPr>
          <w:rFonts w:eastAsia="Times New Roman"/>
          <w:color w:val="000000"/>
          <w:sz w:val="24"/>
          <w:u w:val="single"/>
        </w:rPr>
        <w:t>Procedures</w:t>
      </w:r>
      <w:r>
        <w:rPr>
          <w:rFonts w:eastAsia="Times New Roman"/>
          <w:color w:val="000000"/>
          <w:sz w:val="24"/>
        </w:rPr>
        <w:t xml:space="preserve"> </w:t>
      </w:r>
    </w:p>
    <w:p w14:paraId="580078E6" w14:textId="77777777" w:rsidR="00410AEB" w:rsidRDefault="00163AB1">
      <w:pPr>
        <w:spacing w:before="243" w:line="275" w:lineRule="exact"/>
        <w:ind w:firstLine="720"/>
        <w:jc w:val="both"/>
        <w:textAlignment w:val="baseline"/>
        <w:rPr>
          <w:rFonts w:eastAsia="Times New Roman"/>
          <w:color w:val="000000"/>
          <w:sz w:val="24"/>
        </w:rPr>
      </w:pPr>
      <w:r>
        <w:rPr>
          <w:rFonts w:eastAsia="Times New Roman"/>
          <w:color w:val="000000"/>
          <w:sz w:val="24"/>
        </w:rPr>
        <w:t>As a general matter, prior to entering into Interested Transactions, the Audit Committee (the “</w:t>
      </w:r>
      <w:r>
        <w:rPr>
          <w:rFonts w:eastAsia="Times New Roman"/>
          <w:color w:val="000000"/>
          <w:sz w:val="24"/>
          <w:u w:val="single"/>
        </w:rPr>
        <w:t>Committee</w:t>
      </w:r>
      <w:r>
        <w:rPr>
          <w:rFonts w:eastAsia="Times New Roman"/>
          <w:color w:val="000000"/>
          <w:sz w:val="24"/>
        </w:rPr>
        <w:t>”) will review the material facts of all Interested Transactions that require the Committee’s approval and either approve or disapprove of the entry into the Interested Transaction, subject to the exceptions described below.</w:t>
      </w:r>
    </w:p>
    <w:p w14:paraId="252B045F" w14:textId="77777777" w:rsidR="00410AEB" w:rsidRDefault="00163AB1">
      <w:pPr>
        <w:spacing w:before="247" w:line="272" w:lineRule="exact"/>
        <w:jc w:val="center"/>
        <w:textAlignment w:val="baseline"/>
        <w:rPr>
          <w:rFonts w:eastAsia="Times New Roman"/>
          <w:color w:val="000000"/>
          <w:sz w:val="24"/>
        </w:rPr>
      </w:pPr>
      <w:r>
        <w:rPr>
          <w:rFonts w:eastAsia="Times New Roman"/>
          <w:color w:val="000000"/>
          <w:sz w:val="24"/>
        </w:rPr>
        <w:t>If advance Committee approval of an Interested Transaction is not feasible or obtained:</w:t>
      </w:r>
    </w:p>
    <w:p w14:paraId="7E536ACD" w14:textId="77777777" w:rsidR="00410AEB" w:rsidRDefault="00163AB1">
      <w:pPr>
        <w:numPr>
          <w:ilvl w:val="0"/>
          <w:numId w:val="1"/>
        </w:numPr>
        <w:tabs>
          <w:tab w:val="clear" w:pos="720"/>
          <w:tab w:val="left" w:pos="1440"/>
        </w:tabs>
        <w:spacing w:before="236" w:line="277" w:lineRule="exact"/>
        <w:ind w:left="1440" w:hanging="720"/>
        <w:jc w:val="both"/>
        <w:textAlignment w:val="baseline"/>
        <w:rPr>
          <w:rFonts w:eastAsia="Times New Roman"/>
          <w:color w:val="000000"/>
          <w:sz w:val="24"/>
        </w:rPr>
      </w:pPr>
      <w:r>
        <w:rPr>
          <w:rFonts w:eastAsia="Times New Roman"/>
          <w:color w:val="000000"/>
          <w:sz w:val="24"/>
        </w:rPr>
        <w:t>If the transaction is pending or ongoing, it will be submitted to the Committee promptly, and the Committee will consider the transaction and evaluate all options, including but not limited to approval, ratification, amendment or termination of the Interested Transaction; and</w:t>
      </w:r>
    </w:p>
    <w:p w14:paraId="613546D0" w14:textId="77777777" w:rsidR="00410AEB" w:rsidRDefault="00163AB1">
      <w:pPr>
        <w:numPr>
          <w:ilvl w:val="0"/>
          <w:numId w:val="1"/>
        </w:numPr>
        <w:tabs>
          <w:tab w:val="clear" w:pos="720"/>
          <w:tab w:val="left" w:pos="1440"/>
        </w:tabs>
        <w:spacing w:before="237" w:line="274" w:lineRule="exact"/>
        <w:ind w:left="1440" w:hanging="720"/>
        <w:jc w:val="both"/>
        <w:textAlignment w:val="baseline"/>
        <w:rPr>
          <w:rFonts w:eastAsia="Times New Roman"/>
          <w:color w:val="000000"/>
          <w:sz w:val="24"/>
        </w:rPr>
      </w:pPr>
      <w:r>
        <w:rPr>
          <w:rFonts w:eastAsia="Times New Roman"/>
          <w:color w:val="000000"/>
          <w:sz w:val="24"/>
        </w:rPr>
        <w:t>If the transaction is completed, the Committee will consider the transaction to determine if ratification or rescission of the transaction and/or any further action is appropriate.</w:t>
      </w:r>
    </w:p>
    <w:p w14:paraId="659639DD" w14:textId="77777777" w:rsidR="00410AEB" w:rsidRDefault="00163AB1">
      <w:pPr>
        <w:spacing w:line="276" w:lineRule="exact"/>
        <w:ind w:firstLine="720"/>
        <w:jc w:val="both"/>
        <w:textAlignment w:val="baseline"/>
        <w:rPr>
          <w:rFonts w:eastAsia="Times New Roman"/>
          <w:color w:val="000000"/>
          <w:sz w:val="24"/>
        </w:rPr>
      </w:pPr>
      <w:r>
        <w:rPr>
          <w:rFonts w:eastAsia="Times New Roman"/>
          <w:color w:val="000000"/>
          <w:sz w:val="24"/>
        </w:rPr>
        <w:t xml:space="preserve">In determining whether to approve, disapprove or ratify an Interested Transaction, the Committee will </w:t>
      </w:r>
      <w:proofErr w:type="gramStart"/>
      <w:r>
        <w:rPr>
          <w:rFonts w:eastAsia="Times New Roman"/>
          <w:color w:val="000000"/>
          <w:sz w:val="24"/>
        </w:rPr>
        <w:t>take into account</w:t>
      </w:r>
      <w:proofErr w:type="gramEnd"/>
      <w:r>
        <w:rPr>
          <w:rFonts w:eastAsia="Times New Roman"/>
          <w:color w:val="000000"/>
          <w:sz w:val="24"/>
        </w:rPr>
        <w:t xml:space="preserve">, among other factors it deems appropriate, whether the Interested </w:t>
      </w:r>
      <w:r>
        <w:rPr>
          <w:rFonts w:eastAsia="Times New Roman"/>
          <w:color w:val="000000"/>
          <w:sz w:val="24"/>
        </w:rPr>
        <w:lastRenderedPageBreak/>
        <w:t>Transaction is on terms no less favorable than terms generally available to an unaffiliated third-party under the same or similar circumstances on an arm’s length basis and the extent of the Related Person’s interest in the transaction.</w:t>
      </w:r>
    </w:p>
    <w:p w14:paraId="4F36B3B8" w14:textId="77777777" w:rsidR="00410AEB" w:rsidRDefault="00163AB1">
      <w:pPr>
        <w:spacing w:before="240" w:line="276" w:lineRule="exact"/>
        <w:ind w:firstLine="720"/>
        <w:jc w:val="both"/>
        <w:textAlignment w:val="baseline"/>
        <w:rPr>
          <w:rFonts w:eastAsia="Times New Roman"/>
          <w:color w:val="000000"/>
          <w:sz w:val="24"/>
        </w:rPr>
      </w:pPr>
      <w:r>
        <w:rPr>
          <w:rFonts w:eastAsia="Times New Roman"/>
          <w:color w:val="000000"/>
          <w:sz w:val="24"/>
        </w:rPr>
        <w:t>The Committee has determined that each of the Interested Transactions described below in “Standing Pre-Approval for Certain Interested Transactions” shall be deemed to be pre-approved by the Committee under the terms of this policy. In addition, the Board has delegated to the Chair of the Committee the authority to approve, disapprove or ratify (as applicable) any Interested Transaction with a Related Person in which the aggregate amount involved is expected to be less than $1,000,000.</w:t>
      </w:r>
    </w:p>
    <w:p w14:paraId="00996AEC" w14:textId="77777777" w:rsidR="00410AEB" w:rsidRDefault="00163AB1">
      <w:pPr>
        <w:spacing w:before="237" w:line="276" w:lineRule="exact"/>
        <w:ind w:firstLine="720"/>
        <w:jc w:val="both"/>
        <w:textAlignment w:val="baseline"/>
        <w:rPr>
          <w:rFonts w:eastAsia="Times New Roman"/>
          <w:color w:val="000000"/>
          <w:sz w:val="24"/>
        </w:rPr>
      </w:pPr>
      <w:r>
        <w:rPr>
          <w:rFonts w:eastAsia="Times New Roman"/>
          <w:color w:val="000000"/>
          <w:sz w:val="24"/>
        </w:rPr>
        <w:t>No director will participate in any discussion, approval or ratification of an Interested Transaction for which he or she is a Related Person, except that the director will provide all material information concerning the Interested Transaction to the Committee and may be counted in determining the presence of a quorum at a meeting of the Committee that considers the transaction.</w:t>
      </w:r>
    </w:p>
    <w:p w14:paraId="18A78161" w14:textId="77777777" w:rsidR="00410AEB" w:rsidRDefault="00163AB1">
      <w:pPr>
        <w:spacing w:before="240" w:line="276" w:lineRule="exact"/>
        <w:ind w:firstLine="720"/>
        <w:jc w:val="both"/>
        <w:textAlignment w:val="baseline"/>
        <w:rPr>
          <w:rFonts w:eastAsia="Times New Roman"/>
          <w:color w:val="000000"/>
          <w:sz w:val="24"/>
        </w:rPr>
      </w:pPr>
      <w:r>
        <w:rPr>
          <w:rFonts w:eastAsia="Times New Roman"/>
          <w:color w:val="000000"/>
          <w:sz w:val="24"/>
        </w:rPr>
        <w:t>If an Interested Transaction will be ongoing, the Committee may establish guidelines for the Company’s management to follow in its ongoing dealings with the Related Person.</w:t>
      </w:r>
    </w:p>
    <w:p w14:paraId="6D1B2F11" w14:textId="77777777" w:rsidR="00410AEB" w:rsidRDefault="00163AB1">
      <w:pPr>
        <w:spacing w:before="247" w:line="273" w:lineRule="exact"/>
        <w:textAlignment w:val="baseline"/>
        <w:rPr>
          <w:rFonts w:eastAsia="Times New Roman"/>
          <w:color w:val="000000"/>
          <w:sz w:val="24"/>
          <w:u w:val="single"/>
        </w:rPr>
      </w:pPr>
      <w:r>
        <w:rPr>
          <w:rFonts w:eastAsia="Times New Roman"/>
          <w:color w:val="000000"/>
          <w:sz w:val="24"/>
          <w:u w:val="single"/>
        </w:rPr>
        <w:t>Standing Pre-Approval for Certain Interested Transactions</w:t>
      </w:r>
    </w:p>
    <w:p w14:paraId="46E999CC" w14:textId="77777777" w:rsidR="00410AEB" w:rsidRDefault="00163AB1">
      <w:pPr>
        <w:spacing w:before="236" w:line="276" w:lineRule="exact"/>
        <w:ind w:firstLine="720"/>
        <w:jc w:val="both"/>
        <w:textAlignment w:val="baseline"/>
        <w:rPr>
          <w:rFonts w:eastAsia="Times New Roman"/>
          <w:color w:val="000000"/>
          <w:sz w:val="24"/>
        </w:rPr>
      </w:pPr>
      <w:r>
        <w:rPr>
          <w:rFonts w:eastAsia="Times New Roman"/>
          <w:color w:val="000000"/>
          <w:sz w:val="24"/>
        </w:rPr>
        <w:t>The Committee has determined that each of the following Interested Transactions shall be deemed to be pre-approved by the Committee, even if the aggregate amount involved will exceed $120,000:</w:t>
      </w:r>
    </w:p>
    <w:p w14:paraId="0ABDF7A9" w14:textId="77777777" w:rsidR="00410AEB" w:rsidRDefault="00163AB1">
      <w:pPr>
        <w:numPr>
          <w:ilvl w:val="0"/>
          <w:numId w:val="2"/>
        </w:numPr>
        <w:tabs>
          <w:tab w:val="clear" w:pos="720"/>
          <w:tab w:val="left" w:pos="1440"/>
        </w:tabs>
        <w:spacing w:before="243" w:line="276" w:lineRule="exact"/>
        <w:ind w:left="1440" w:hanging="720"/>
        <w:jc w:val="both"/>
        <w:textAlignment w:val="baseline"/>
        <w:rPr>
          <w:rFonts w:eastAsia="Times New Roman"/>
          <w:i/>
          <w:color w:val="000000"/>
          <w:sz w:val="24"/>
        </w:rPr>
      </w:pPr>
      <w:r>
        <w:rPr>
          <w:rFonts w:eastAsia="Times New Roman"/>
          <w:i/>
          <w:color w:val="000000"/>
          <w:sz w:val="24"/>
        </w:rPr>
        <w:t xml:space="preserve">Employment of executive officers. </w:t>
      </w:r>
      <w:r>
        <w:rPr>
          <w:rFonts w:eastAsia="Times New Roman"/>
          <w:color w:val="000000"/>
          <w:sz w:val="24"/>
        </w:rPr>
        <w:t>Any employment by the Company of an executive officer of the Company if the related compensation is required to be reported in the Company’s filings with the Securities and Exchange Commission (the “</w:t>
      </w:r>
      <w:r>
        <w:rPr>
          <w:rFonts w:eastAsia="Times New Roman"/>
          <w:color w:val="000000"/>
          <w:sz w:val="24"/>
          <w:u w:val="single"/>
        </w:rPr>
        <w:t>SEC</w:t>
      </w:r>
      <w:r>
        <w:rPr>
          <w:rFonts w:eastAsia="Times New Roman"/>
          <w:color w:val="000000"/>
          <w:sz w:val="24"/>
        </w:rPr>
        <w:t>”) under Item 402 of Regulation S-K (generally applicable to “named executive officers”) or Item 404 of Regulation S-K;</w:t>
      </w:r>
    </w:p>
    <w:p w14:paraId="34D2CBFD" w14:textId="77777777" w:rsidR="00410AEB" w:rsidRDefault="00163AB1">
      <w:pPr>
        <w:numPr>
          <w:ilvl w:val="0"/>
          <w:numId w:val="2"/>
        </w:numPr>
        <w:tabs>
          <w:tab w:val="clear" w:pos="720"/>
          <w:tab w:val="left" w:pos="1440"/>
        </w:tabs>
        <w:spacing w:before="237" w:line="276" w:lineRule="exact"/>
        <w:ind w:left="1440" w:hanging="720"/>
        <w:jc w:val="both"/>
        <w:textAlignment w:val="baseline"/>
        <w:rPr>
          <w:rFonts w:eastAsia="Times New Roman"/>
          <w:i/>
          <w:color w:val="000000"/>
          <w:sz w:val="24"/>
        </w:rPr>
      </w:pPr>
      <w:r>
        <w:rPr>
          <w:rFonts w:eastAsia="Times New Roman"/>
          <w:i/>
          <w:color w:val="000000"/>
          <w:sz w:val="24"/>
        </w:rPr>
        <w:t xml:space="preserve">Director compensation. </w:t>
      </w:r>
      <w:r>
        <w:rPr>
          <w:rFonts w:eastAsia="Times New Roman"/>
          <w:color w:val="000000"/>
          <w:sz w:val="24"/>
        </w:rPr>
        <w:t>Any compensation paid to a director if the compensation is required to be reported in the Company’s SEC filings under Items 402 or 404 of Regulation S-K;</w:t>
      </w:r>
    </w:p>
    <w:p w14:paraId="15E8683A" w14:textId="77777777" w:rsidR="00410AEB" w:rsidRDefault="00163AB1">
      <w:pPr>
        <w:numPr>
          <w:ilvl w:val="0"/>
          <w:numId w:val="2"/>
        </w:numPr>
        <w:tabs>
          <w:tab w:val="clear" w:pos="720"/>
          <w:tab w:val="left" w:pos="1440"/>
        </w:tabs>
        <w:spacing w:before="240" w:line="276" w:lineRule="exact"/>
        <w:ind w:left="1440" w:hanging="720"/>
        <w:jc w:val="both"/>
        <w:textAlignment w:val="baseline"/>
        <w:rPr>
          <w:rFonts w:eastAsia="Times New Roman"/>
          <w:i/>
          <w:color w:val="000000"/>
          <w:sz w:val="24"/>
        </w:rPr>
      </w:pPr>
      <w:r>
        <w:rPr>
          <w:rFonts w:eastAsia="Times New Roman"/>
          <w:i/>
          <w:color w:val="000000"/>
          <w:sz w:val="24"/>
        </w:rPr>
        <w:t xml:space="preserve">Certain transactions with other companies. </w:t>
      </w:r>
      <w:r>
        <w:rPr>
          <w:rFonts w:eastAsia="Times New Roman"/>
          <w:color w:val="000000"/>
          <w:sz w:val="24"/>
        </w:rPr>
        <w:t>A transaction with another company (the “</w:t>
      </w:r>
      <w:r>
        <w:rPr>
          <w:rFonts w:eastAsia="Times New Roman"/>
          <w:color w:val="000000"/>
          <w:sz w:val="24"/>
          <w:u w:val="single"/>
        </w:rPr>
        <w:t>Other Company</w:t>
      </w:r>
      <w:r>
        <w:rPr>
          <w:rFonts w:eastAsia="Times New Roman"/>
          <w:color w:val="000000"/>
          <w:sz w:val="24"/>
        </w:rPr>
        <w:t>”) at which a Related Person’s only relationship is as an employee, director, limited partner or beneficial owner of less than 10% of that Other Company’s shares, partnership interests or other equity interests, if the aggregate amount involved does not exceed the greater of $1,000,000, or 2% of the Other Company’s total annual revenues;</w:t>
      </w:r>
    </w:p>
    <w:p w14:paraId="0FF33F35" w14:textId="77777777" w:rsidR="00410AEB" w:rsidRDefault="00163AB1">
      <w:pPr>
        <w:numPr>
          <w:ilvl w:val="0"/>
          <w:numId w:val="2"/>
        </w:numPr>
        <w:tabs>
          <w:tab w:val="clear" w:pos="720"/>
          <w:tab w:val="left" w:pos="1440"/>
        </w:tabs>
        <w:spacing w:before="243" w:line="274" w:lineRule="exact"/>
        <w:ind w:left="1440" w:hanging="720"/>
        <w:jc w:val="both"/>
        <w:textAlignment w:val="baseline"/>
        <w:rPr>
          <w:rFonts w:eastAsia="Times New Roman"/>
          <w:i/>
          <w:color w:val="000000"/>
          <w:sz w:val="24"/>
        </w:rPr>
      </w:pPr>
      <w:r>
        <w:rPr>
          <w:rFonts w:eastAsia="Times New Roman"/>
          <w:i/>
          <w:color w:val="000000"/>
          <w:sz w:val="24"/>
        </w:rPr>
        <w:t xml:space="preserve">Certain Company charitable contributions. </w:t>
      </w:r>
      <w:r>
        <w:rPr>
          <w:rFonts w:eastAsia="Times New Roman"/>
          <w:color w:val="000000"/>
          <w:sz w:val="24"/>
        </w:rPr>
        <w:t>Any charitable contribution, grant or endowment to a charitable organization, foundation or university at which a Related Person’s only relationship is as an employee, director or trustee, if the</w:t>
      </w:r>
    </w:p>
    <w:p w14:paraId="01CC8855" w14:textId="77777777" w:rsidR="00410AEB" w:rsidRDefault="00410AEB">
      <w:pPr>
        <w:sectPr w:rsidR="00410AEB">
          <w:pgSz w:w="12240" w:h="15840"/>
          <w:pgMar w:top="1440" w:right="1400" w:bottom="1064" w:left="1440" w:header="720" w:footer="720" w:gutter="0"/>
          <w:cols w:space="720"/>
        </w:sectPr>
      </w:pPr>
    </w:p>
    <w:p w14:paraId="1E96E193" w14:textId="77777777" w:rsidR="00410AEB" w:rsidRDefault="00163AB1">
      <w:pPr>
        <w:spacing w:before="11" w:line="276" w:lineRule="exact"/>
        <w:ind w:left="720"/>
        <w:jc w:val="both"/>
        <w:textAlignment w:val="baseline"/>
        <w:rPr>
          <w:rFonts w:eastAsia="Times New Roman"/>
          <w:color w:val="000000"/>
          <w:sz w:val="24"/>
        </w:rPr>
      </w:pPr>
      <w:r>
        <w:rPr>
          <w:rFonts w:eastAsia="Times New Roman"/>
          <w:color w:val="000000"/>
          <w:sz w:val="24"/>
        </w:rPr>
        <w:lastRenderedPageBreak/>
        <w:t>aggregate amount involved does not exceed 1% of the charitable organization’s total annual receipts, even if such charitable contribution, grant or endowment would require approval under Item 2 above;</w:t>
      </w:r>
    </w:p>
    <w:p w14:paraId="1D587CD4" w14:textId="77777777" w:rsidR="00410AEB" w:rsidRDefault="00163AB1">
      <w:pPr>
        <w:numPr>
          <w:ilvl w:val="0"/>
          <w:numId w:val="2"/>
        </w:numPr>
        <w:spacing w:before="236" w:line="277" w:lineRule="exact"/>
        <w:ind w:left="720" w:hanging="720"/>
        <w:jc w:val="both"/>
        <w:textAlignment w:val="baseline"/>
        <w:rPr>
          <w:rFonts w:eastAsia="Times New Roman"/>
          <w:i/>
          <w:color w:val="000000"/>
          <w:sz w:val="24"/>
        </w:rPr>
      </w:pPr>
      <w:r>
        <w:rPr>
          <w:rFonts w:eastAsia="Times New Roman"/>
          <w:i/>
          <w:color w:val="000000"/>
          <w:sz w:val="24"/>
        </w:rPr>
        <w:t xml:space="preserve">Transactions where all shareholders receive proportional benefits. </w:t>
      </w:r>
      <w:r>
        <w:rPr>
          <w:rFonts w:eastAsia="Times New Roman"/>
          <w:color w:val="000000"/>
          <w:sz w:val="24"/>
        </w:rPr>
        <w:t>Any transaction where the Related Person’s interest arises solely from the ownership of the Company’s common stock and all holders of the Company’s common stock received the same benefit on a pro rata basis (e.g., dividends);</w:t>
      </w:r>
    </w:p>
    <w:p w14:paraId="66B992E0" w14:textId="77777777" w:rsidR="00410AEB" w:rsidRDefault="00163AB1">
      <w:pPr>
        <w:numPr>
          <w:ilvl w:val="0"/>
          <w:numId w:val="2"/>
        </w:numPr>
        <w:spacing w:before="237" w:line="276" w:lineRule="exact"/>
        <w:ind w:left="720" w:hanging="720"/>
        <w:jc w:val="both"/>
        <w:textAlignment w:val="baseline"/>
        <w:rPr>
          <w:rFonts w:eastAsia="Times New Roman"/>
          <w:i/>
          <w:color w:val="000000"/>
          <w:spacing w:val="-1"/>
          <w:sz w:val="24"/>
        </w:rPr>
      </w:pPr>
      <w:r>
        <w:rPr>
          <w:rFonts w:eastAsia="Times New Roman"/>
          <w:i/>
          <w:color w:val="000000"/>
          <w:spacing w:val="-1"/>
          <w:sz w:val="24"/>
        </w:rPr>
        <w:t xml:space="preserve">Fairness Opinion. </w:t>
      </w:r>
      <w:r>
        <w:rPr>
          <w:rFonts w:eastAsia="Times New Roman"/>
          <w:color w:val="000000"/>
          <w:spacing w:val="-1"/>
          <w:sz w:val="24"/>
        </w:rPr>
        <w:t>Any transaction in which a member of the Board is party to such Interested Transaction shall have received a written opinion from a nationally recognized investment banking, appraisal or accounting firm that such Interested Transaction is either fair, from a financial standpoint, to the Company and its Subsidiaries or is on terms not materially less favorable than those that might reasonably have been obtained in a comparable transaction at such time on an arm’s length basis from a person that is not an Related Person of the Company;</w:t>
      </w:r>
    </w:p>
    <w:p w14:paraId="78448E9D" w14:textId="77777777" w:rsidR="00410AEB" w:rsidRDefault="00163AB1">
      <w:pPr>
        <w:numPr>
          <w:ilvl w:val="0"/>
          <w:numId w:val="2"/>
        </w:numPr>
        <w:spacing w:before="243" w:line="276" w:lineRule="exact"/>
        <w:ind w:left="720" w:hanging="720"/>
        <w:jc w:val="both"/>
        <w:textAlignment w:val="baseline"/>
        <w:rPr>
          <w:rFonts w:eastAsia="Times New Roman"/>
          <w:i/>
          <w:color w:val="000000"/>
          <w:sz w:val="24"/>
        </w:rPr>
      </w:pPr>
      <w:r>
        <w:rPr>
          <w:rFonts w:eastAsia="Times New Roman"/>
          <w:i/>
          <w:color w:val="000000"/>
          <w:sz w:val="24"/>
        </w:rPr>
        <w:t xml:space="preserve">Permitted by documents governing indebtedness. </w:t>
      </w:r>
      <w:r>
        <w:rPr>
          <w:rFonts w:eastAsia="Times New Roman"/>
          <w:color w:val="000000"/>
          <w:sz w:val="24"/>
        </w:rPr>
        <w:t>Any transaction involving a Related Person where such transaction would be permitted by the documents that govern the Company’s indebtedness;</w:t>
      </w:r>
    </w:p>
    <w:p w14:paraId="792004CF" w14:textId="77777777" w:rsidR="00410AEB" w:rsidRDefault="00163AB1">
      <w:pPr>
        <w:numPr>
          <w:ilvl w:val="0"/>
          <w:numId w:val="2"/>
        </w:numPr>
        <w:spacing w:before="237" w:line="276" w:lineRule="exact"/>
        <w:ind w:left="720" w:hanging="720"/>
        <w:jc w:val="both"/>
        <w:textAlignment w:val="baseline"/>
        <w:rPr>
          <w:rFonts w:eastAsia="Times New Roman"/>
          <w:i/>
          <w:color w:val="000000"/>
          <w:sz w:val="24"/>
        </w:rPr>
      </w:pPr>
      <w:r>
        <w:rPr>
          <w:rFonts w:eastAsia="Times New Roman"/>
          <w:i/>
          <w:color w:val="000000"/>
          <w:sz w:val="24"/>
        </w:rPr>
        <w:t xml:space="preserve">Issuance of capital stock to shareholders. </w:t>
      </w:r>
      <w:r>
        <w:rPr>
          <w:rFonts w:eastAsia="Times New Roman"/>
          <w:color w:val="000000"/>
          <w:sz w:val="24"/>
        </w:rPr>
        <w:t>Any issuance by the Company or its subsidiaries of the Company’s capital stock to its shareholders, whether pursuant to a transaction or otherwise;</w:t>
      </w:r>
    </w:p>
    <w:p w14:paraId="5C656911" w14:textId="77777777" w:rsidR="00410AEB" w:rsidRDefault="00163AB1">
      <w:pPr>
        <w:numPr>
          <w:ilvl w:val="0"/>
          <w:numId w:val="2"/>
        </w:numPr>
        <w:spacing w:before="246" w:line="273" w:lineRule="exact"/>
        <w:ind w:left="720" w:hanging="720"/>
        <w:jc w:val="both"/>
        <w:textAlignment w:val="baseline"/>
        <w:rPr>
          <w:rFonts w:eastAsia="Times New Roman"/>
          <w:i/>
          <w:color w:val="000000"/>
          <w:spacing w:val="-1"/>
          <w:sz w:val="24"/>
        </w:rPr>
      </w:pPr>
      <w:r>
        <w:rPr>
          <w:rFonts w:eastAsia="Times New Roman"/>
          <w:i/>
          <w:color w:val="000000"/>
          <w:spacing w:val="-1"/>
          <w:sz w:val="24"/>
        </w:rPr>
        <w:t xml:space="preserve">Transactions involving competitive bids. </w:t>
      </w:r>
      <w:r>
        <w:rPr>
          <w:rFonts w:eastAsia="Times New Roman"/>
          <w:color w:val="000000"/>
          <w:spacing w:val="-1"/>
          <w:sz w:val="24"/>
        </w:rPr>
        <w:t>Any transaction involving a Related Party where the rates or charges involved are determined by competitive bids; and</w:t>
      </w:r>
    </w:p>
    <w:p w14:paraId="397C925C" w14:textId="77777777" w:rsidR="00410AEB" w:rsidRDefault="00163AB1">
      <w:pPr>
        <w:numPr>
          <w:ilvl w:val="0"/>
          <w:numId w:val="2"/>
        </w:numPr>
        <w:spacing w:before="243" w:after="1263" w:line="276" w:lineRule="exact"/>
        <w:ind w:left="720" w:hanging="720"/>
        <w:jc w:val="both"/>
        <w:textAlignment w:val="baseline"/>
        <w:rPr>
          <w:rFonts w:eastAsia="Times New Roman"/>
          <w:i/>
          <w:color w:val="000000"/>
          <w:sz w:val="24"/>
        </w:rPr>
      </w:pPr>
      <w:r>
        <w:rPr>
          <w:rFonts w:eastAsia="Times New Roman"/>
          <w:i/>
          <w:color w:val="000000"/>
          <w:sz w:val="24"/>
        </w:rPr>
        <w:t xml:space="preserve">Regulated and customer transactions. </w:t>
      </w:r>
      <w:r>
        <w:rPr>
          <w:rFonts w:eastAsia="Times New Roman"/>
          <w:color w:val="000000"/>
          <w:sz w:val="24"/>
        </w:rPr>
        <w:t>Any transaction with a Related Party involving the rendering of services as a common or contract carrier, or public utility, at rates or charges fixed in conformity with law or governmental authority, or services made available on the same terms and conditions to persons who are not a Related Party.</w:t>
      </w:r>
    </w:p>
    <w:p w14:paraId="7B079D73" w14:textId="77777777" w:rsidR="00410AEB" w:rsidRDefault="00410AEB">
      <w:pPr>
        <w:spacing w:before="243" w:after="1263" w:line="276" w:lineRule="exact"/>
        <w:sectPr w:rsidR="00410AEB">
          <w:pgSz w:w="12240" w:h="15840"/>
          <w:pgMar w:top="1440" w:right="1410" w:bottom="3544" w:left="2170" w:header="720" w:footer="720" w:gutter="0"/>
          <w:cols w:space="720"/>
        </w:sectPr>
      </w:pPr>
    </w:p>
    <w:p w14:paraId="6E30304C" w14:textId="07190FD4" w:rsidR="00410AEB" w:rsidRDefault="00163AB1">
      <w:pPr>
        <w:spacing w:line="272" w:lineRule="exact"/>
        <w:textAlignment w:val="baseline"/>
        <w:rPr>
          <w:rFonts w:eastAsia="Times New Roman"/>
          <w:color w:val="000000"/>
          <w:spacing w:val="-1"/>
          <w:sz w:val="24"/>
        </w:rPr>
      </w:pPr>
      <w:r>
        <w:rPr>
          <w:rFonts w:eastAsia="Times New Roman"/>
          <w:color w:val="000000"/>
          <w:spacing w:val="-1"/>
          <w:sz w:val="24"/>
        </w:rPr>
        <w:t xml:space="preserve">Effective Date: </w:t>
      </w:r>
      <w:r w:rsidR="002309E4">
        <w:rPr>
          <w:rFonts w:eastAsia="Times New Roman"/>
          <w:color w:val="000000"/>
          <w:spacing w:val="-1"/>
          <w:sz w:val="24"/>
        </w:rPr>
        <w:t>_________</w:t>
      </w:r>
      <w:r w:rsidR="005A3E80">
        <w:rPr>
          <w:rFonts w:eastAsia="Times New Roman"/>
          <w:color w:val="000000"/>
          <w:spacing w:val="-1"/>
          <w:sz w:val="24"/>
        </w:rPr>
        <w:t xml:space="preserve"> [__]</w:t>
      </w:r>
      <w:r>
        <w:rPr>
          <w:rFonts w:eastAsia="Times New Roman"/>
          <w:color w:val="000000"/>
          <w:spacing w:val="-1"/>
          <w:sz w:val="24"/>
        </w:rPr>
        <w:t>, 20</w:t>
      </w:r>
      <w:r w:rsidR="005A3E80">
        <w:rPr>
          <w:rFonts w:eastAsia="Times New Roman"/>
          <w:color w:val="000000"/>
          <w:spacing w:val="-1"/>
          <w:sz w:val="24"/>
        </w:rPr>
        <w:t>22</w:t>
      </w:r>
    </w:p>
    <w:sectPr w:rsidR="00410AEB" w:rsidSect="00AD2AAE">
      <w:type w:val="continuous"/>
      <w:pgSz w:w="12240" w:h="15840"/>
      <w:pgMar w:top="1440" w:right="6390" w:bottom="3544" w:left="14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3441D" w14:textId="77777777" w:rsidR="00373A87" w:rsidRDefault="00373A87">
      <w:r>
        <w:separator/>
      </w:r>
    </w:p>
  </w:endnote>
  <w:endnote w:type="continuationSeparator" w:id="0">
    <w:p w14:paraId="6ECB95F1" w14:textId="77777777" w:rsidR="00373A87" w:rsidRDefault="00373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8CABE" w14:textId="77777777" w:rsidR="00373A87" w:rsidRDefault="00373A87"/>
  </w:footnote>
  <w:footnote w:type="continuationSeparator" w:id="0">
    <w:p w14:paraId="31B10DAE" w14:textId="77777777" w:rsidR="00373A87" w:rsidRDefault="00373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A68D2"/>
    <w:multiLevelType w:val="multilevel"/>
    <w:tmpl w:val="3542AA84"/>
    <w:lvl w:ilvl="0">
      <w:start w:val="1"/>
      <w:numFmt w:val="decimal"/>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8D76D6"/>
    <w:multiLevelType w:val="multilevel"/>
    <w:tmpl w:val="A88EC00A"/>
    <w:lvl w:ilvl="0">
      <w:start w:val="1"/>
      <w:numFmt w:val="decimal"/>
      <w:lvlText w:val="%1."/>
      <w:lvlJc w:val="left"/>
      <w:pPr>
        <w:tabs>
          <w:tab w:val="left" w:pos="720"/>
        </w:tabs>
      </w:pPr>
      <w:rPr>
        <w:rFonts w:ascii="Times New Roman" w:eastAsia="Times New Roman" w:hAnsi="Times New Roman"/>
        <w: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91268997">
    <w:abstractNumId w:val="0"/>
  </w:num>
  <w:num w:numId="2" w16cid:durableId="1000815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2"/>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AEB"/>
    <w:rsid w:val="00163AB1"/>
    <w:rsid w:val="002309E4"/>
    <w:rsid w:val="002746BE"/>
    <w:rsid w:val="002E55E4"/>
    <w:rsid w:val="00373A87"/>
    <w:rsid w:val="00410AEB"/>
    <w:rsid w:val="005A3E80"/>
    <w:rsid w:val="00784BD9"/>
    <w:rsid w:val="00AD2AAE"/>
    <w:rsid w:val="00B418D9"/>
    <w:rsid w:val="7B602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E97A2"/>
  <w15:docId w15:val="{0AD9D119-F16D-491B-ACB0-BE8D5E6E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F15E894A20AB4A8C08CB36E56A7D57" ma:contentTypeVersion="11" ma:contentTypeDescription="Create a new document." ma:contentTypeScope="" ma:versionID="3be11c79c3cebfc135e48e7736a37c3e">
  <xsd:schema xmlns:xsd="http://www.w3.org/2001/XMLSchema" xmlns:xs="http://www.w3.org/2001/XMLSchema" xmlns:p="http://schemas.microsoft.com/office/2006/metadata/properties" xmlns:ns2="c2b84374-c7b4-4c9f-a8cd-f2be2dc14ae3" xmlns:ns3="729ba519-fdf0-4d1e-822f-a497148b3b76" targetNamespace="http://schemas.microsoft.com/office/2006/metadata/properties" ma:root="true" ma:fieldsID="db4614b501e98c6ecae9c92226ee3a90" ns2:_="" ns3:_="">
    <xsd:import namespace="c2b84374-c7b4-4c9f-a8cd-f2be2dc14ae3"/>
    <xsd:import namespace="729ba519-fdf0-4d1e-822f-a497148b3b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84374-c7b4-4c9f-a8cd-f2be2dc14a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9ba519-fdf0-4d1e-822f-a497148b3b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968527-E0D3-464B-8CFD-C3B952E51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84374-c7b4-4c9f-a8cd-f2be2dc14ae3"/>
    <ds:schemaRef ds:uri="729ba519-fdf0-4d1e-822f-a497148b3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F2FC46-4636-4E06-B020-BE8A5DBA886D}">
  <ds:schemaRefs>
    <ds:schemaRef ds:uri="http://schemas.microsoft.com/sharepoint/v3/contenttype/forms"/>
  </ds:schemaRefs>
</ds:datastoreItem>
</file>

<file path=customXml/itemProps3.xml><?xml version="1.0" encoding="utf-8"?>
<ds:datastoreItem xmlns:ds="http://schemas.openxmlformats.org/officeDocument/2006/customXml" ds:itemID="{C324D8A3-1DB1-432D-9377-0B3B5BA3AA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1108</Words>
  <Characters>6316</Characters>
  <Application>Microsoft Office Word</Application>
  <DocSecurity>0</DocSecurity>
  <Lines>52</Lines>
  <Paragraphs>14</Paragraphs>
  <ScaleCrop>false</ScaleCrop>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Graphex Policies.doc</dc:title>
  <cp:lastModifiedBy>Richard Morris</cp:lastModifiedBy>
  <cp:revision>6</cp:revision>
  <dcterms:created xsi:type="dcterms:W3CDTF">2022-03-23T23:12:00Z</dcterms:created>
  <dcterms:modified xsi:type="dcterms:W3CDTF">2022-07-25T03:46:00Z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0x01010056F15E894A20AB4A8C08CB36E56A7D57</vt:lpwstr>
  </property>
</Properties>
</file>