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B9530" w14:textId="662C1805" w:rsidR="009A4355" w:rsidRDefault="00590EC3" w:rsidP="003C0BFC">
      <w:pPr>
        <w:spacing w:before="120" w:after="120" w:line="273" w:lineRule="exact"/>
        <w:jc w:val="center"/>
        <w:textAlignment w:val="baseline"/>
        <w:rPr>
          <w:rFonts w:eastAsia="Times New Roman"/>
          <w:b/>
          <w:color w:val="000000"/>
          <w:sz w:val="24"/>
        </w:rPr>
      </w:pPr>
      <w:r>
        <w:rPr>
          <w:rFonts w:eastAsia="Times New Roman"/>
          <w:b/>
          <w:color w:val="000000"/>
          <w:sz w:val="24"/>
        </w:rPr>
        <w:t>GRAPHEX GROUP</w:t>
      </w:r>
      <w:r w:rsidR="00BF4128">
        <w:rPr>
          <w:rFonts w:eastAsia="Times New Roman"/>
          <w:b/>
          <w:color w:val="000000"/>
          <w:sz w:val="24"/>
        </w:rPr>
        <w:t xml:space="preserve"> LIMITED</w:t>
      </w:r>
    </w:p>
    <w:p w14:paraId="28D70EAE" w14:textId="636CF9BE" w:rsidR="009A4355" w:rsidRDefault="00580C3D" w:rsidP="003C0BFC">
      <w:pPr>
        <w:spacing w:before="120" w:after="120" w:line="273" w:lineRule="exact"/>
        <w:jc w:val="center"/>
        <w:textAlignment w:val="baseline"/>
        <w:rPr>
          <w:rFonts w:eastAsia="Times New Roman"/>
          <w:b/>
          <w:color w:val="000000"/>
          <w:sz w:val="24"/>
        </w:rPr>
      </w:pPr>
      <w:r>
        <w:rPr>
          <w:rFonts w:eastAsia="Times New Roman"/>
          <w:b/>
          <w:color w:val="000000"/>
          <w:sz w:val="24"/>
        </w:rPr>
        <w:t xml:space="preserve">(a </w:t>
      </w:r>
      <w:r w:rsidR="00590EC3">
        <w:rPr>
          <w:rFonts w:eastAsia="Times New Roman"/>
          <w:b/>
          <w:color w:val="000000"/>
          <w:sz w:val="24"/>
        </w:rPr>
        <w:t>Cayman Islands Exempted Company</w:t>
      </w:r>
      <w:r>
        <w:rPr>
          <w:rFonts w:eastAsia="Times New Roman"/>
          <w:b/>
          <w:color w:val="000000"/>
          <w:sz w:val="24"/>
        </w:rPr>
        <w:t>)</w:t>
      </w:r>
    </w:p>
    <w:p w14:paraId="449D971F" w14:textId="3FA41FE8" w:rsidR="00BF4128" w:rsidRDefault="00507860" w:rsidP="003C0BFC">
      <w:pPr>
        <w:spacing w:before="120" w:after="120" w:line="552" w:lineRule="exact"/>
        <w:jc w:val="center"/>
        <w:textAlignment w:val="baseline"/>
        <w:rPr>
          <w:rFonts w:eastAsia="Times New Roman"/>
          <w:b/>
          <w:color w:val="000000"/>
          <w:sz w:val="24"/>
        </w:rPr>
      </w:pPr>
      <w:r w:rsidRPr="00507860">
        <w:rPr>
          <w:rFonts w:eastAsia="Times New Roman"/>
          <w:b/>
          <w:color w:val="000000"/>
          <w:sz w:val="24"/>
        </w:rPr>
        <w:t xml:space="preserve">REMUNERATION </w:t>
      </w:r>
      <w:r>
        <w:rPr>
          <w:rFonts w:eastAsia="Times New Roman"/>
          <w:b/>
          <w:color w:val="000000"/>
          <w:sz w:val="24"/>
        </w:rPr>
        <w:t xml:space="preserve">(COMPANESATION) </w:t>
      </w:r>
      <w:r w:rsidRPr="00507860">
        <w:rPr>
          <w:rFonts w:eastAsia="Times New Roman"/>
          <w:b/>
          <w:color w:val="000000"/>
          <w:sz w:val="24"/>
        </w:rPr>
        <w:t>COMMITTEE</w:t>
      </w:r>
      <w:r>
        <w:rPr>
          <w:rFonts w:eastAsia="Times New Roman"/>
          <w:b/>
          <w:color w:val="000000"/>
          <w:sz w:val="24"/>
        </w:rPr>
        <w:t xml:space="preserve"> </w:t>
      </w:r>
      <w:r w:rsidR="00580C3D">
        <w:rPr>
          <w:rFonts w:eastAsia="Times New Roman"/>
          <w:b/>
          <w:color w:val="000000"/>
          <w:sz w:val="24"/>
        </w:rPr>
        <w:t xml:space="preserve">CHARTER </w:t>
      </w:r>
      <w:r w:rsidR="00580C3D">
        <w:rPr>
          <w:rFonts w:eastAsia="Times New Roman"/>
          <w:b/>
          <w:color w:val="000000"/>
          <w:sz w:val="24"/>
        </w:rPr>
        <w:br/>
      </w:r>
      <w:r w:rsidR="00BF4128">
        <w:rPr>
          <w:rFonts w:eastAsia="Times New Roman"/>
          <w:b/>
          <w:color w:val="000000"/>
          <w:sz w:val="24"/>
        </w:rPr>
        <w:t>Adopted March 31, 2022</w:t>
      </w:r>
    </w:p>
    <w:p w14:paraId="6CBB5FB8" w14:textId="77777777" w:rsidR="00BF4128" w:rsidRDefault="00BF4128" w:rsidP="003C0BFC">
      <w:pPr>
        <w:spacing w:before="120" w:after="120"/>
        <w:rPr>
          <w:sz w:val="24"/>
          <w:szCs w:val="24"/>
        </w:rPr>
      </w:pPr>
    </w:p>
    <w:p w14:paraId="6B53FF6A" w14:textId="77777777" w:rsidR="00BF4128" w:rsidRDefault="00BF4128" w:rsidP="003C0BFC">
      <w:pPr>
        <w:spacing w:before="120" w:after="120"/>
        <w:rPr>
          <w:sz w:val="24"/>
          <w:szCs w:val="24"/>
        </w:rPr>
      </w:pPr>
      <w:r w:rsidRPr="00C81ABF">
        <w:rPr>
          <w:sz w:val="24"/>
          <w:szCs w:val="24"/>
        </w:rPr>
        <w:t>Applicability</w:t>
      </w:r>
      <w:r>
        <w:rPr>
          <w:sz w:val="24"/>
          <w:szCs w:val="24"/>
        </w:rPr>
        <w:t>:</w:t>
      </w:r>
    </w:p>
    <w:p w14:paraId="107A832A" w14:textId="77777777" w:rsidR="00BF4128" w:rsidRDefault="00BF4128" w:rsidP="003C0BFC">
      <w:pPr>
        <w:spacing w:before="120" w:after="120"/>
        <w:rPr>
          <w:sz w:val="24"/>
          <w:szCs w:val="24"/>
        </w:rPr>
      </w:pPr>
    </w:p>
    <w:p w14:paraId="4706AD43" w14:textId="43AAB44F" w:rsidR="00BF4128" w:rsidRPr="00C81ABF" w:rsidRDefault="00BF4128" w:rsidP="003C0BFC">
      <w:pPr>
        <w:spacing w:before="120" w:after="120"/>
        <w:rPr>
          <w:sz w:val="24"/>
          <w:szCs w:val="24"/>
        </w:rPr>
      </w:pPr>
      <w:r w:rsidRPr="41EE6FDA">
        <w:rPr>
          <w:sz w:val="24"/>
          <w:szCs w:val="24"/>
        </w:rPr>
        <w:t xml:space="preserve">This </w:t>
      </w:r>
      <w:r w:rsidR="00507860" w:rsidRPr="41EE6FDA">
        <w:rPr>
          <w:sz w:val="24"/>
          <w:szCs w:val="24"/>
        </w:rPr>
        <w:t>Renumeration</w:t>
      </w:r>
      <w:r w:rsidR="005A3207" w:rsidRPr="41EE6FDA">
        <w:rPr>
          <w:sz w:val="24"/>
          <w:szCs w:val="24"/>
        </w:rPr>
        <w:t xml:space="preserve"> (</w:t>
      </w:r>
      <w:r w:rsidR="000228B7" w:rsidRPr="41EE6FDA">
        <w:rPr>
          <w:sz w:val="24"/>
          <w:szCs w:val="24"/>
        </w:rPr>
        <w:t>Compensation</w:t>
      </w:r>
      <w:r w:rsidR="005A3207" w:rsidRPr="41EE6FDA">
        <w:rPr>
          <w:sz w:val="24"/>
          <w:szCs w:val="24"/>
        </w:rPr>
        <w:t>)</w:t>
      </w:r>
      <w:r w:rsidRPr="41EE6FDA">
        <w:rPr>
          <w:sz w:val="24"/>
          <w:szCs w:val="24"/>
        </w:rPr>
        <w:t xml:space="preserve"> Committee Charter shall be effective from and after the date that the Company has any shares or units of any security that is listed for trading on the NYSE in addition to any other policy or charter applicable to the </w:t>
      </w:r>
      <w:r w:rsidR="000C124A" w:rsidRPr="41EE6FDA">
        <w:rPr>
          <w:sz w:val="24"/>
          <w:szCs w:val="24"/>
        </w:rPr>
        <w:t xml:space="preserve">Renumeration </w:t>
      </w:r>
      <w:r w:rsidRPr="41EE6FDA">
        <w:rPr>
          <w:sz w:val="24"/>
          <w:szCs w:val="24"/>
        </w:rPr>
        <w:t>Committee of the Company.</w:t>
      </w:r>
    </w:p>
    <w:p w14:paraId="355979AC" w14:textId="77777777" w:rsidR="00BF4128" w:rsidRDefault="00BF4128" w:rsidP="003C0BFC">
      <w:pPr>
        <w:tabs>
          <w:tab w:val="left" w:pos="720"/>
        </w:tabs>
        <w:spacing w:before="120" w:after="120" w:line="273" w:lineRule="exact"/>
        <w:textAlignment w:val="baseline"/>
        <w:rPr>
          <w:rFonts w:eastAsia="Times New Roman"/>
          <w:b/>
          <w:color w:val="000000"/>
          <w:sz w:val="24"/>
        </w:rPr>
      </w:pPr>
    </w:p>
    <w:p w14:paraId="07CA58D0" w14:textId="1F4F0402" w:rsidR="009A4355" w:rsidRDefault="00580C3D" w:rsidP="003C0BFC">
      <w:pPr>
        <w:tabs>
          <w:tab w:val="left" w:pos="720"/>
        </w:tabs>
        <w:spacing w:before="120" w:after="120" w:line="273" w:lineRule="exact"/>
        <w:textAlignment w:val="baseline"/>
        <w:rPr>
          <w:rFonts w:eastAsia="Times New Roman"/>
          <w:b/>
          <w:color w:val="000000"/>
          <w:sz w:val="24"/>
        </w:rPr>
      </w:pPr>
      <w:r>
        <w:rPr>
          <w:rFonts w:eastAsia="Times New Roman"/>
          <w:b/>
          <w:color w:val="000000"/>
          <w:sz w:val="24"/>
        </w:rPr>
        <w:t>I.</w:t>
      </w:r>
      <w:r>
        <w:rPr>
          <w:rFonts w:eastAsia="Times New Roman"/>
          <w:b/>
          <w:color w:val="000000"/>
          <w:sz w:val="24"/>
        </w:rPr>
        <w:tab/>
        <w:t>PURPOSE</w:t>
      </w:r>
    </w:p>
    <w:p w14:paraId="78BDD0E4" w14:textId="78AEEA30" w:rsidR="009A4355" w:rsidRDefault="00580C3D" w:rsidP="003C0BFC">
      <w:pPr>
        <w:spacing w:before="120" w:after="120" w:line="276" w:lineRule="exact"/>
        <w:ind w:firstLine="720"/>
        <w:jc w:val="both"/>
        <w:textAlignment w:val="baseline"/>
        <w:rPr>
          <w:rFonts w:eastAsia="Times New Roman"/>
          <w:color w:val="000000"/>
          <w:sz w:val="24"/>
        </w:rPr>
      </w:pPr>
      <w:r>
        <w:rPr>
          <w:rFonts w:eastAsia="Times New Roman"/>
          <w:color w:val="000000"/>
          <w:sz w:val="24"/>
        </w:rPr>
        <w:t xml:space="preserve">The purpose of the </w:t>
      </w:r>
      <w:r w:rsidR="000C124A">
        <w:rPr>
          <w:rFonts w:eastAsia="Times New Roman"/>
          <w:color w:val="000000"/>
          <w:sz w:val="24"/>
        </w:rPr>
        <w:t xml:space="preserve">Renumeration Committee </w:t>
      </w:r>
      <w:r>
        <w:rPr>
          <w:rFonts w:eastAsia="Times New Roman"/>
          <w:color w:val="000000"/>
          <w:sz w:val="24"/>
        </w:rPr>
        <w:t>(the “</w:t>
      </w:r>
      <w:r>
        <w:rPr>
          <w:rFonts w:eastAsia="Times New Roman"/>
          <w:color w:val="000000"/>
          <w:sz w:val="24"/>
          <w:u w:val="single"/>
        </w:rPr>
        <w:t>Committee</w:t>
      </w:r>
      <w:r>
        <w:rPr>
          <w:rFonts w:eastAsia="Times New Roman"/>
          <w:color w:val="000000"/>
          <w:sz w:val="24"/>
        </w:rPr>
        <w:t>”) of the Board of Directors (the “</w:t>
      </w:r>
      <w:r>
        <w:rPr>
          <w:rFonts w:eastAsia="Times New Roman"/>
          <w:color w:val="000000"/>
          <w:sz w:val="24"/>
          <w:u w:val="single"/>
        </w:rPr>
        <w:t>Board</w:t>
      </w:r>
      <w:r>
        <w:rPr>
          <w:rFonts w:eastAsia="Times New Roman"/>
          <w:color w:val="000000"/>
          <w:sz w:val="24"/>
        </w:rPr>
        <w:t xml:space="preserve">”) of </w:t>
      </w:r>
      <w:r w:rsidR="00590EC3">
        <w:rPr>
          <w:rFonts w:eastAsia="Times New Roman"/>
          <w:color w:val="000000"/>
          <w:sz w:val="24"/>
        </w:rPr>
        <w:t>Graphex Group</w:t>
      </w:r>
      <w:r w:rsidR="009603BE">
        <w:rPr>
          <w:rFonts w:eastAsia="Times New Roman"/>
          <w:color w:val="000000"/>
          <w:sz w:val="24"/>
        </w:rPr>
        <w:t xml:space="preserve"> Limited </w:t>
      </w:r>
      <w:r>
        <w:rPr>
          <w:rFonts w:eastAsia="Times New Roman"/>
          <w:color w:val="000000"/>
          <w:sz w:val="24"/>
        </w:rPr>
        <w:t>(the “</w:t>
      </w:r>
      <w:r>
        <w:rPr>
          <w:rFonts w:eastAsia="Times New Roman"/>
          <w:color w:val="000000"/>
          <w:sz w:val="24"/>
          <w:u w:val="single"/>
        </w:rPr>
        <w:t>Company</w:t>
      </w:r>
      <w:r>
        <w:rPr>
          <w:rFonts w:eastAsia="Times New Roman"/>
          <w:color w:val="000000"/>
          <w:sz w:val="24"/>
        </w:rPr>
        <w:t>”) shall be to:</w:t>
      </w:r>
    </w:p>
    <w:p w14:paraId="2503B6E9" w14:textId="77777777" w:rsidR="009A4355" w:rsidRDefault="00580C3D" w:rsidP="003C0BFC">
      <w:pPr>
        <w:numPr>
          <w:ilvl w:val="0"/>
          <w:numId w:val="1"/>
        </w:numPr>
        <w:tabs>
          <w:tab w:val="clear" w:pos="360"/>
          <w:tab w:val="left" w:pos="1440"/>
        </w:tabs>
        <w:spacing w:before="120" w:after="120" w:line="276" w:lineRule="exact"/>
        <w:ind w:left="1440" w:hanging="360"/>
        <w:textAlignment w:val="baseline"/>
        <w:rPr>
          <w:rFonts w:eastAsia="Times New Roman"/>
          <w:color w:val="000000"/>
          <w:sz w:val="24"/>
        </w:rPr>
      </w:pPr>
      <w:r>
        <w:rPr>
          <w:rFonts w:eastAsia="Times New Roman"/>
          <w:color w:val="000000"/>
          <w:sz w:val="24"/>
        </w:rPr>
        <w:t>oversee the Company’s compensation and benefits programs;</w:t>
      </w:r>
    </w:p>
    <w:p w14:paraId="1A8CDAB2" w14:textId="77777777" w:rsidR="009A4355" w:rsidRDefault="00580C3D" w:rsidP="003C0BFC">
      <w:pPr>
        <w:numPr>
          <w:ilvl w:val="0"/>
          <w:numId w:val="1"/>
        </w:numPr>
        <w:tabs>
          <w:tab w:val="clear" w:pos="360"/>
          <w:tab w:val="left" w:pos="1440"/>
        </w:tabs>
        <w:spacing w:before="120" w:after="120" w:line="276" w:lineRule="exact"/>
        <w:ind w:left="1440" w:hanging="360"/>
        <w:textAlignment w:val="baseline"/>
        <w:rPr>
          <w:rFonts w:eastAsia="Times New Roman"/>
          <w:color w:val="000000"/>
          <w:sz w:val="24"/>
        </w:rPr>
      </w:pPr>
      <w:r>
        <w:rPr>
          <w:rFonts w:eastAsia="Times New Roman"/>
          <w:color w:val="000000"/>
          <w:sz w:val="24"/>
        </w:rPr>
        <w:t>establish, review, revise and interpret the Company’s compensation philosophy, policies and objectives; and</w:t>
      </w:r>
    </w:p>
    <w:p w14:paraId="28AE8E2C" w14:textId="77777777" w:rsidR="009A4355" w:rsidRDefault="00580C3D" w:rsidP="003C0BFC">
      <w:pPr>
        <w:numPr>
          <w:ilvl w:val="0"/>
          <w:numId w:val="1"/>
        </w:numPr>
        <w:tabs>
          <w:tab w:val="clear" w:pos="360"/>
          <w:tab w:val="left" w:pos="1440"/>
        </w:tabs>
        <w:spacing w:before="120" w:after="120" w:line="276" w:lineRule="exact"/>
        <w:ind w:left="1440" w:hanging="360"/>
        <w:jc w:val="both"/>
        <w:textAlignment w:val="baseline"/>
        <w:rPr>
          <w:rFonts w:eastAsia="Times New Roman"/>
          <w:color w:val="000000"/>
          <w:sz w:val="24"/>
        </w:rPr>
      </w:pPr>
      <w:r>
        <w:rPr>
          <w:rFonts w:eastAsia="Times New Roman"/>
          <w:color w:val="000000"/>
          <w:sz w:val="24"/>
        </w:rPr>
        <w:t>evaluate the performance of the Company’s executive officers and set compensation levels for all executive officers, including any performance-based compensation.</w:t>
      </w:r>
    </w:p>
    <w:p w14:paraId="4B90E79B" w14:textId="77777777" w:rsidR="009A4355" w:rsidRDefault="00580C3D" w:rsidP="003C0BFC">
      <w:pPr>
        <w:spacing w:before="120" w:after="120" w:line="276" w:lineRule="exact"/>
        <w:ind w:right="72" w:firstLine="720"/>
        <w:textAlignment w:val="baseline"/>
        <w:rPr>
          <w:rFonts w:eastAsia="Times New Roman"/>
          <w:color w:val="000000"/>
          <w:sz w:val="24"/>
        </w:rPr>
      </w:pPr>
      <w:r>
        <w:rPr>
          <w:rFonts w:eastAsia="Times New Roman"/>
          <w:color w:val="000000"/>
          <w:sz w:val="24"/>
        </w:rPr>
        <w:t>This Committee is formed as a committee of the Board as a matter of preferred corporate practices and unless the Committee is required to be maintained under the Securities and Exchange Act or any exchange or regulatory authority, the Committee may be terminated at the pleasure of the Board.</w:t>
      </w:r>
    </w:p>
    <w:p w14:paraId="3FA71ED5" w14:textId="0204F8D0" w:rsidR="0094639C" w:rsidRDefault="0094639C" w:rsidP="003C0BFC">
      <w:pPr>
        <w:spacing w:before="120" w:after="120" w:line="276" w:lineRule="exact"/>
        <w:ind w:right="72" w:firstLine="720"/>
        <w:textAlignment w:val="baseline"/>
        <w:rPr>
          <w:rFonts w:eastAsia="Times New Roman"/>
          <w:color w:val="000000"/>
          <w:sz w:val="24"/>
        </w:rPr>
      </w:pPr>
      <w:r>
        <w:rPr>
          <w:rFonts w:eastAsia="Times New Roman"/>
          <w:color w:val="000000"/>
          <w:sz w:val="24"/>
        </w:rPr>
        <w:t>This Committee may also be known and referred to as the Compensation Committee.</w:t>
      </w:r>
    </w:p>
    <w:p w14:paraId="1111F2F0" w14:textId="77777777" w:rsidR="009A4355" w:rsidRDefault="00580C3D" w:rsidP="003C0BFC">
      <w:pPr>
        <w:tabs>
          <w:tab w:val="left" w:pos="720"/>
        </w:tabs>
        <w:spacing w:before="120" w:after="120" w:line="273" w:lineRule="exact"/>
        <w:textAlignment w:val="baseline"/>
        <w:rPr>
          <w:rFonts w:eastAsia="Times New Roman"/>
          <w:b/>
          <w:color w:val="000000"/>
          <w:sz w:val="24"/>
        </w:rPr>
      </w:pPr>
      <w:r>
        <w:rPr>
          <w:rFonts w:eastAsia="Times New Roman"/>
          <w:b/>
          <w:color w:val="000000"/>
          <w:sz w:val="24"/>
        </w:rPr>
        <w:t>II.</w:t>
      </w:r>
      <w:r>
        <w:rPr>
          <w:rFonts w:eastAsia="Times New Roman"/>
          <w:b/>
          <w:color w:val="000000"/>
          <w:sz w:val="24"/>
        </w:rPr>
        <w:tab/>
        <w:t>ORGANIZATION AND MEMBERSHIP</w:t>
      </w:r>
    </w:p>
    <w:p w14:paraId="78A19B8E" w14:textId="3B80C8FB" w:rsidR="009A4355" w:rsidRDefault="00590EC3" w:rsidP="003C0BFC">
      <w:pPr>
        <w:spacing w:before="120" w:after="120" w:line="276" w:lineRule="exact"/>
        <w:ind w:firstLine="720"/>
        <w:jc w:val="both"/>
        <w:textAlignment w:val="baseline"/>
        <w:rPr>
          <w:rFonts w:eastAsia="Times New Roman"/>
          <w:color w:val="000000"/>
          <w:sz w:val="24"/>
        </w:rPr>
      </w:pPr>
      <w:r>
        <w:rPr>
          <w:rFonts w:eastAsia="Times New Roman"/>
          <w:color w:val="000000"/>
          <w:sz w:val="24"/>
        </w:rPr>
        <w:t xml:space="preserve">Without prejudice to any other obligations of the Committee, </w:t>
      </w:r>
      <w:r w:rsidRPr="00590EC3">
        <w:rPr>
          <w:rFonts w:eastAsia="Times New Roman"/>
          <w:color w:val="000000"/>
          <w:sz w:val="24"/>
        </w:rPr>
        <w:t xml:space="preserve">for so long as the Company has </w:t>
      </w:r>
      <w:bookmarkStart w:id="0" w:name="_Hlk98955612"/>
      <w:r w:rsidRPr="00590EC3">
        <w:rPr>
          <w:rFonts w:eastAsia="Times New Roman"/>
          <w:color w:val="000000"/>
          <w:sz w:val="24"/>
        </w:rPr>
        <w:t>any securities listed on the N</w:t>
      </w:r>
      <w:r w:rsidR="00F76D2B">
        <w:rPr>
          <w:rFonts w:eastAsia="Times New Roman"/>
          <w:color w:val="000000"/>
          <w:sz w:val="24"/>
        </w:rPr>
        <w:t xml:space="preserve">YSE </w:t>
      </w:r>
      <w:r w:rsidRPr="00590EC3">
        <w:rPr>
          <w:rFonts w:eastAsia="Times New Roman"/>
          <w:color w:val="000000"/>
          <w:sz w:val="24"/>
        </w:rPr>
        <w:t>American, LLC (the “</w:t>
      </w:r>
      <w:r w:rsidRPr="00590EC3">
        <w:rPr>
          <w:rFonts w:eastAsia="Times New Roman"/>
          <w:color w:val="000000"/>
          <w:sz w:val="24"/>
          <w:u w:val="single"/>
        </w:rPr>
        <w:t>NYSE</w:t>
      </w:r>
      <w:r w:rsidRPr="00590EC3">
        <w:rPr>
          <w:rFonts w:eastAsia="Times New Roman"/>
          <w:color w:val="000000"/>
          <w:sz w:val="24"/>
        </w:rPr>
        <w:t xml:space="preserve">”), </w:t>
      </w:r>
      <w:r>
        <w:rPr>
          <w:rFonts w:eastAsia="Times New Roman"/>
          <w:color w:val="000000"/>
          <w:sz w:val="24"/>
        </w:rPr>
        <w:t xml:space="preserve">the operation of the Committee shall be governed by </w:t>
      </w:r>
      <w:bookmarkEnd w:id="0"/>
      <w:r>
        <w:rPr>
          <w:rFonts w:eastAsia="Times New Roman"/>
          <w:color w:val="000000"/>
          <w:sz w:val="24"/>
        </w:rPr>
        <w:t>t</w:t>
      </w:r>
      <w:r w:rsidR="00580C3D">
        <w:rPr>
          <w:rFonts w:eastAsia="Times New Roman"/>
          <w:color w:val="000000"/>
          <w:sz w:val="24"/>
        </w:rPr>
        <w:t xml:space="preserve">he Company’s Bylaws (the </w:t>
      </w:r>
      <w:r w:rsidR="00580C3D">
        <w:rPr>
          <w:rFonts w:eastAsia="Times New Roman"/>
          <w:color w:val="000000"/>
          <w:sz w:val="24"/>
        </w:rPr>
        <w:lastRenderedPageBreak/>
        <w:t>“</w:t>
      </w:r>
      <w:r w:rsidR="00580C3D">
        <w:rPr>
          <w:rFonts w:eastAsia="Times New Roman"/>
          <w:color w:val="000000"/>
          <w:sz w:val="24"/>
          <w:u w:val="single"/>
        </w:rPr>
        <w:t>Bylaws</w:t>
      </w:r>
      <w:r w:rsidR="00580C3D">
        <w:rPr>
          <w:rFonts w:eastAsia="Times New Roman"/>
          <w:color w:val="000000"/>
          <w:sz w:val="24"/>
        </w:rPr>
        <w:t>”) and this charter (the “</w:t>
      </w:r>
      <w:r w:rsidR="00580C3D">
        <w:rPr>
          <w:rFonts w:eastAsia="Times New Roman"/>
          <w:color w:val="000000"/>
          <w:sz w:val="24"/>
          <w:u w:val="single"/>
        </w:rPr>
        <w:t>Charter</w:t>
      </w:r>
      <w:r w:rsidR="00580C3D">
        <w:rPr>
          <w:rFonts w:eastAsia="Times New Roman"/>
          <w:color w:val="000000"/>
          <w:sz w:val="24"/>
        </w:rPr>
        <w:t>”)</w:t>
      </w:r>
      <w:r>
        <w:rPr>
          <w:rFonts w:eastAsia="Times New Roman"/>
          <w:color w:val="000000"/>
          <w:sz w:val="24"/>
        </w:rPr>
        <w:t>.</w:t>
      </w:r>
      <w:r w:rsidR="00580C3D">
        <w:rPr>
          <w:rFonts w:eastAsia="Times New Roman"/>
          <w:color w:val="000000"/>
          <w:sz w:val="24"/>
        </w:rPr>
        <w:t xml:space="preserve"> </w:t>
      </w:r>
      <w:r>
        <w:rPr>
          <w:rFonts w:eastAsia="Times New Roman"/>
          <w:color w:val="000000"/>
          <w:sz w:val="24"/>
        </w:rPr>
        <w:t>I</w:t>
      </w:r>
      <w:r w:rsidR="00580C3D">
        <w:rPr>
          <w:rFonts w:eastAsia="Times New Roman"/>
          <w:color w:val="000000"/>
          <w:sz w:val="24"/>
        </w:rPr>
        <w:t xml:space="preserve">n the event of a conflict, the Bylaws shall govern. The Committee shall consist of at least two members elected by the Board, and, unless otherwise determined by the Board, </w:t>
      </w:r>
      <w:r w:rsidR="00CF63D7">
        <w:rPr>
          <w:rFonts w:eastAsia="Times New Roman"/>
          <w:color w:val="000000"/>
          <w:sz w:val="24"/>
        </w:rPr>
        <w:t xml:space="preserve">shall consist of </w:t>
      </w:r>
      <w:r w:rsidR="00580C3D">
        <w:rPr>
          <w:rFonts w:eastAsia="Times New Roman"/>
          <w:color w:val="000000"/>
          <w:sz w:val="24"/>
        </w:rPr>
        <w:t>member</w:t>
      </w:r>
      <w:r w:rsidR="006E691A">
        <w:rPr>
          <w:rFonts w:eastAsia="Times New Roman"/>
          <w:color w:val="000000"/>
          <w:sz w:val="24"/>
        </w:rPr>
        <w:t>s</w:t>
      </w:r>
      <w:r w:rsidR="00580C3D">
        <w:rPr>
          <w:rFonts w:eastAsia="Times New Roman"/>
          <w:color w:val="000000"/>
          <w:sz w:val="24"/>
        </w:rPr>
        <w:t xml:space="preserve"> </w:t>
      </w:r>
      <w:r w:rsidR="006E691A">
        <w:rPr>
          <w:rFonts w:eastAsia="Times New Roman"/>
          <w:color w:val="000000"/>
          <w:sz w:val="24"/>
        </w:rPr>
        <w:t xml:space="preserve">that </w:t>
      </w:r>
      <w:r w:rsidR="00580C3D">
        <w:rPr>
          <w:rFonts w:eastAsia="Times New Roman"/>
          <w:color w:val="000000"/>
          <w:sz w:val="24"/>
        </w:rPr>
        <w:t xml:space="preserve">shall be “independent” as such term is defined in Rule 10A-3(b)(1) under the Securities Exchange Act of 1934 and </w:t>
      </w:r>
      <w:r w:rsidR="008F5971">
        <w:rPr>
          <w:rFonts w:eastAsia="Times New Roman"/>
          <w:color w:val="000000"/>
          <w:sz w:val="24"/>
        </w:rPr>
        <w:t>the applicable listing rules of the NYSE</w:t>
      </w:r>
      <w:r w:rsidR="006E691A">
        <w:rPr>
          <w:rFonts w:eastAsia="Times New Roman"/>
          <w:color w:val="000000"/>
          <w:sz w:val="24"/>
        </w:rPr>
        <w:t xml:space="preserve"> as required</w:t>
      </w:r>
      <w:r w:rsidR="00580C3D">
        <w:rPr>
          <w:rFonts w:eastAsia="Times New Roman"/>
          <w:color w:val="000000"/>
          <w:sz w:val="24"/>
        </w:rPr>
        <w:t>. Notwithstanding the foregoing provision of this paragraph, the membership of the Committee shall require at least one independent member</w:t>
      </w:r>
      <w:r w:rsidR="005E7374">
        <w:rPr>
          <w:rFonts w:eastAsia="Times New Roman"/>
          <w:color w:val="000000"/>
          <w:sz w:val="24"/>
        </w:rPr>
        <w:t xml:space="preserve"> in the Committee</w:t>
      </w:r>
      <w:r w:rsidR="00580C3D">
        <w:rPr>
          <w:rFonts w:eastAsia="Times New Roman"/>
          <w:color w:val="000000"/>
          <w:sz w:val="24"/>
        </w:rPr>
        <w:t xml:space="preserve"> with </w:t>
      </w:r>
      <w:r w:rsidR="00226649">
        <w:rPr>
          <w:rFonts w:eastAsia="Times New Roman"/>
          <w:color w:val="000000"/>
          <w:sz w:val="24"/>
        </w:rPr>
        <w:t>such</w:t>
      </w:r>
      <w:r w:rsidR="00580C3D">
        <w:rPr>
          <w:rFonts w:eastAsia="Times New Roman"/>
          <w:color w:val="000000"/>
          <w:sz w:val="24"/>
        </w:rPr>
        <w:t xml:space="preserve"> </w:t>
      </w:r>
      <w:r w:rsidR="00226649">
        <w:rPr>
          <w:rFonts w:eastAsia="Times New Roman"/>
          <w:color w:val="000000"/>
          <w:sz w:val="24"/>
        </w:rPr>
        <w:t>qualifications as required</w:t>
      </w:r>
      <w:r w:rsidR="00580C3D">
        <w:rPr>
          <w:rFonts w:eastAsia="Times New Roman"/>
          <w:color w:val="000000"/>
          <w:sz w:val="24"/>
        </w:rPr>
        <w:t xml:space="preserve"> under applicable law, rule or regulation</w:t>
      </w:r>
      <w:r w:rsidR="00226649">
        <w:rPr>
          <w:rFonts w:eastAsia="Times New Roman"/>
          <w:color w:val="000000"/>
          <w:sz w:val="24"/>
        </w:rPr>
        <w:t>, from and after the date that the Company is required to have this Committee.</w:t>
      </w:r>
    </w:p>
    <w:p w14:paraId="6AD98388" w14:textId="77777777" w:rsidR="009A4355" w:rsidRDefault="00580C3D" w:rsidP="003C0BFC">
      <w:pPr>
        <w:spacing w:before="120" w:after="120" w:line="276" w:lineRule="exact"/>
        <w:ind w:right="144" w:firstLine="720"/>
        <w:textAlignment w:val="baseline"/>
        <w:rPr>
          <w:rFonts w:eastAsia="Times New Roman"/>
          <w:color w:val="000000"/>
          <w:sz w:val="24"/>
        </w:rPr>
      </w:pPr>
      <w:r>
        <w:rPr>
          <w:rFonts w:eastAsia="Times New Roman"/>
          <w:color w:val="000000"/>
          <w:sz w:val="24"/>
        </w:rPr>
        <w:t>Each member of the Committee shall be selected and retained in compliance with all applicable rules, regulations and statutes. Committee members shall be appointed by the Board and may be removed by the Board at any time. Each Committee member shall serve until a successor to such member is duly elected and qualified or until such member’s resignation or removal from the Board or the Committee. The Board may designate the Chairman of the Committee. The Board may remove any Chairman and designate a successor at any time and from time to time.</w:t>
      </w:r>
    </w:p>
    <w:p w14:paraId="37AC2D16" w14:textId="77777777" w:rsidR="009A4355" w:rsidRDefault="00580C3D" w:rsidP="003C0BFC">
      <w:pPr>
        <w:numPr>
          <w:ilvl w:val="0"/>
          <w:numId w:val="2"/>
        </w:numPr>
        <w:spacing w:before="120" w:after="120" w:line="273" w:lineRule="exact"/>
        <w:textAlignment w:val="baseline"/>
        <w:rPr>
          <w:rFonts w:eastAsia="Times New Roman"/>
          <w:b/>
          <w:color w:val="000000"/>
          <w:sz w:val="24"/>
        </w:rPr>
      </w:pPr>
      <w:r>
        <w:rPr>
          <w:rFonts w:eastAsia="Times New Roman"/>
          <w:b/>
          <w:color w:val="000000"/>
          <w:sz w:val="24"/>
        </w:rPr>
        <w:t>MINUTES</w:t>
      </w:r>
    </w:p>
    <w:p w14:paraId="634A8413" w14:textId="77777777" w:rsidR="009A4355" w:rsidRDefault="00580C3D" w:rsidP="003C0BFC">
      <w:pPr>
        <w:spacing w:before="120" w:after="120" w:line="276" w:lineRule="exact"/>
        <w:ind w:firstLine="720"/>
        <w:jc w:val="both"/>
        <w:textAlignment w:val="baseline"/>
        <w:rPr>
          <w:rFonts w:eastAsia="Times New Roman"/>
          <w:color w:val="000000"/>
          <w:sz w:val="24"/>
        </w:rPr>
      </w:pPr>
      <w:r>
        <w:rPr>
          <w:rFonts w:eastAsia="Times New Roman"/>
          <w:color w:val="000000"/>
          <w:sz w:val="24"/>
        </w:rPr>
        <w:t>The Committee shall maintain and submit to the Board copies of minutes of each meeting of the Committee, and each written consent to action taken without a meeting, reflecting the actions so authorized or taken by the Committee since the preceding meeting of the Board. A copy of the minutes of each meeting shall be placed in the Company’s minute book.</w:t>
      </w:r>
    </w:p>
    <w:p w14:paraId="3CB9BA00" w14:textId="77777777" w:rsidR="009A4355" w:rsidRDefault="00580C3D" w:rsidP="003C0BFC">
      <w:pPr>
        <w:numPr>
          <w:ilvl w:val="0"/>
          <w:numId w:val="2"/>
        </w:numPr>
        <w:spacing w:before="120" w:after="120" w:line="273" w:lineRule="exact"/>
        <w:textAlignment w:val="baseline"/>
        <w:rPr>
          <w:rFonts w:eastAsia="Times New Roman"/>
          <w:b/>
          <w:color w:val="000000"/>
          <w:sz w:val="24"/>
        </w:rPr>
      </w:pPr>
      <w:r>
        <w:rPr>
          <w:rFonts w:eastAsia="Times New Roman"/>
          <w:b/>
          <w:color w:val="000000"/>
          <w:sz w:val="24"/>
        </w:rPr>
        <w:t>CHARTER AMENDMENT</w:t>
      </w:r>
    </w:p>
    <w:p w14:paraId="3C215776" w14:textId="77777777" w:rsidR="009A4355" w:rsidRDefault="00580C3D" w:rsidP="003C0BFC">
      <w:pPr>
        <w:spacing w:before="120" w:after="120" w:line="276" w:lineRule="exact"/>
        <w:ind w:firstLine="720"/>
        <w:jc w:val="both"/>
        <w:textAlignment w:val="baseline"/>
        <w:rPr>
          <w:rFonts w:eastAsia="Times New Roman"/>
          <w:color w:val="000000"/>
          <w:sz w:val="24"/>
        </w:rPr>
      </w:pPr>
      <w:r>
        <w:rPr>
          <w:rFonts w:eastAsia="Times New Roman"/>
          <w:color w:val="000000"/>
          <w:sz w:val="24"/>
        </w:rPr>
        <w:t>Any member of the Committee may submit proposed charter amendments to the Board. The Board shall circulate any proposed charter amendment(s) to members of the Committee immediately upon receipt. By a majority vote, the Board may approve the amendments to the Charter.</w:t>
      </w:r>
    </w:p>
    <w:p w14:paraId="66250BF4" w14:textId="77777777" w:rsidR="009A4355" w:rsidRDefault="00580C3D" w:rsidP="003C0BFC">
      <w:pPr>
        <w:numPr>
          <w:ilvl w:val="0"/>
          <w:numId w:val="2"/>
        </w:numPr>
        <w:spacing w:before="120" w:after="120" w:line="273" w:lineRule="exact"/>
        <w:textAlignment w:val="baseline"/>
        <w:rPr>
          <w:rFonts w:eastAsia="Times New Roman"/>
          <w:b/>
          <w:color w:val="000000"/>
          <w:sz w:val="24"/>
        </w:rPr>
      </w:pPr>
      <w:r>
        <w:rPr>
          <w:rFonts w:eastAsia="Times New Roman"/>
          <w:b/>
          <w:color w:val="000000"/>
          <w:sz w:val="24"/>
        </w:rPr>
        <w:t>MEETINGS</w:t>
      </w:r>
    </w:p>
    <w:p w14:paraId="3648716C" w14:textId="77777777" w:rsidR="009A4355" w:rsidRDefault="00580C3D" w:rsidP="003C0BFC">
      <w:pPr>
        <w:spacing w:before="120" w:after="120" w:line="276" w:lineRule="exact"/>
        <w:ind w:firstLine="720"/>
        <w:jc w:val="both"/>
        <w:textAlignment w:val="baseline"/>
        <w:rPr>
          <w:rFonts w:eastAsia="Times New Roman"/>
          <w:color w:val="000000"/>
          <w:sz w:val="24"/>
        </w:rPr>
      </w:pPr>
      <w:r>
        <w:rPr>
          <w:rFonts w:eastAsia="Times New Roman"/>
          <w:color w:val="000000"/>
          <w:sz w:val="24"/>
        </w:rPr>
        <w:t>The Committee shall hold such regular meetings as may be necessary or advisable, but no less frequently than annually. The meeting dates shall be determined by the Committee. The presence in person or by telephone of a majority of the Committee’s members shall constitute a quorum for any meeting of the Committee. All actions of the Committee will require the vote of a majority of its members present at a meeting of the Committee at which a quorum is present or a unanimous written consent.</w:t>
      </w:r>
    </w:p>
    <w:p w14:paraId="143417A6" w14:textId="77777777" w:rsidR="009A4355" w:rsidRDefault="00580C3D" w:rsidP="003C0BFC">
      <w:pPr>
        <w:spacing w:before="120" w:after="120" w:line="276" w:lineRule="exact"/>
        <w:ind w:firstLine="720"/>
        <w:jc w:val="both"/>
        <w:textAlignment w:val="baseline"/>
        <w:rPr>
          <w:rFonts w:eastAsia="Times New Roman"/>
          <w:color w:val="000000"/>
          <w:sz w:val="24"/>
        </w:rPr>
      </w:pPr>
      <w:r>
        <w:rPr>
          <w:rFonts w:eastAsia="Times New Roman"/>
          <w:color w:val="000000"/>
          <w:sz w:val="24"/>
        </w:rPr>
        <w:t>The Committee shall from time to time, as it deems necessary or desirable, retain the services of one or more professional compensation consultants to assist the Committee in its evaluation of compensation for the Company’s chief executive officer and executive officers, which consultant(s) shall be independent from the Company and not be affiliated with any compensation consultant hired by the Company or management within the last twelve months. The Committee has the sole authority to retain and terminate any such compensation consultant, including sole authority to approve all such compensation consultant’s fees and other retention terms.</w:t>
      </w:r>
    </w:p>
    <w:p w14:paraId="2D7C05DC" w14:textId="77777777" w:rsidR="009A4355" w:rsidRDefault="00580C3D" w:rsidP="003C0BFC">
      <w:pPr>
        <w:spacing w:before="120" w:after="120" w:line="276" w:lineRule="exact"/>
        <w:ind w:firstLine="720"/>
        <w:jc w:val="both"/>
        <w:textAlignment w:val="baseline"/>
        <w:rPr>
          <w:rFonts w:eastAsia="Times New Roman"/>
          <w:color w:val="000000"/>
          <w:sz w:val="24"/>
        </w:rPr>
      </w:pPr>
      <w:r>
        <w:rPr>
          <w:rFonts w:eastAsia="Times New Roman"/>
          <w:color w:val="000000"/>
          <w:sz w:val="24"/>
        </w:rPr>
        <w:t>Unless restricted by any applicable rule, regulation or statute, the Committee may form and delegate its authority to subcommittees or to the Chairman of the Committee when it deems appropriate and in the best interests of the Company.</w:t>
      </w:r>
    </w:p>
    <w:p w14:paraId="1967ED0D" w14:textId="77777777" w:rsidR="00BD1764" w:rsidRDefault="00580C3D" w:rsidP="003C0BFC">
      <w:pPr>
        <w:spacing w:before="120" w:after="120" w:line="276" w:lineRule="exact"/>
        <w:ind w:firstLine="720"/>
        <w:jc w:val="both"/>
        <w:textAlignment w:val="baseline"/>
        <w:rPr>
          <w:rFonts w:eastAsia="Times New Roman"/>
          <w:color w:val="000000"/>
          <w:sz w:val="24"/>
        </w:rPr>
      </w:pPr>
      <w:r>
        <w:rPr>
          <w:rFonts w:eastAsia="Times New Roman"/>
          <w:color w:val="000000"/>
          <w:sz w:val="24"/>
        </w:rPr>
        <w:t>The Company may request that any directors, officers or employees of the Company, or other persons whose advice and counsel are sought by the Committee, attend any meeting of the Committee to provide such information as the Committee requests.</w:t>
      </w:r>
    </w:p>
    <w:p w14:paraId="2B6B6359" w14:textId="7B0F6A24" w:rsidR="009A4355" w:rsidRDefault="00580C3D" w:rsidP="003C0BFC">
      <w:pPr>
        <w:spacing w:before="120" w:after="120"/>
        <w:ind w:firstLine="720"/>
        <w:jc w:val="both"/>
        <w:textAlignment w:val="baseline"/>
        <w:rPr>
          <w:rFonts w:eastAsia="Times New Roman"/>
          <w:b/>
          <w:color w:val="000000"/>
          <w:sz w:val="24"/>
        </w:rPr>
      </w:pPr>
      <w:r>
        <w:rPr>
          <w:rFonts w:eastAsia="Times New Roman"/>
          <w:b/>
          <w:color w:val="000000"/>
          <w:sz w:val="24"/>
        </w:rPr>
        <w:t>VI.</w:t>
      </w:r>
      <w:r>
        <w:rPr>
          <w:rFonts w:eastAsia="Times New Roman"/>
          <w:b/>
          <w:color w:val="000000"/>
          <w:sz w:val="24"/>
        </w:rPr>
        <w:tab/>
        <w:t>RESPONSIBILITIES, DUTIES AND AUTHORITY</w:t>
      </w:r>
    </w:p>
    <w:p w14:paraId="51CF0959" w14:textId="77777777" w:rsidR="009A4355" w:rsidRDefault="00580C3D" w:rsidP="003C0BFC">
      <w:pPr>
        <w:spacing w:before="120" w:after="120"/>
        <w:ind w:firstLine="720"/>
        <w:jc w:val="both"/>
        <w:textAlignment w:val="baseline"/>
        <w:rPr>
          <w:rFonts w:eastAsia="Times New Roman"/>
          <w:color w:val="000000"/>
          <w:sz w:val="24"/>
        </w:rPr>
      </w:pPr>
      <w:r>
        <w:rPr>
          <w:rFonts w:eastAsia="Times New Roman"/>
          <w:color w:val="000000"/>
          <w:sz w:val="24"/>
        </w:rPr>
        <w:t>The Committee shall have the power and authority of the Board to perform the following duties and to fulfill the following responsibilities:</w:t>
      </w:r>
    </w:p>
    <w:p w14:paraId="0EA68822" w14:textId="77777777" w:rsidR="009A4355" w:rsidRDefault="00580C3D" w:rsidP="003C0BFC">
      <w:pPr>
        <w:numPr>
          <w:ilvl w:val="0"/>
          <w:numId w:val="1"/>
        </w:numPr>
        <w:tabs>
          <w:tab w:val="clear" w:pos="360"/>
          <w:tab w:val="left" w:pos="1440"/>
        </w:tabs>
        <w:spacing w:before="120" w:after="120" w:line="275" w:lineRule="exact"/>
        <w:ind w:left="1440" w:hanging="360"/>
        <w:jc w:val="both"/>
        <w:textAlignment w:val="baseline"/>
        <w:rPr>
          <w:rFonts w:eastAsia="Times New Roman"/>
          <w:color w:val="000000"/>
          <w:sz w:val="24"/>
        </w:rPr>
      </w:pPr>
      <w:r>
        <w:rPr>
          <w:rFonts w:eastAsia="Times New Roman"/>
          <w:color w:val="000000"/>
          <w:sz w:val="24"/>
        </w:rPr>
        <w:t>Review, revise and interpret the Company’s compensation philosophy, policies and objectives (subject, if applicable, to stockholder ratification), including reviewing and approving any incentive compensation plans and equity-based plans of the Company. In determining such compensation philosophy, policies and objectives, the Committee may consider the recruitment, development, promotion, retention and compensation of senior executives and other employees of the Company and any other factors that it deems appropriate. The Committee shall report its determinations and any actions it takes with respect to the Company’s compensation philosophy, policies and objectives to the Board.</w:t>
      </w:r>
    </w:p>
    <w:p w14:paraId="25C129F0" w14:textId="77777777" w:rsidR="009A4355" w:rsidRDefault="00580C3D" w:rsidP="003C0BFC">
      <w:pPr>
        <w:numPr>
          <w:ilvl w:val="0"/>
          <w:numId w:val="1"/>
        </w:numPr>
        <w:tabs>
          <w:tab w:val="clear" w:pos="360"/>
          <w:tab w:val="left" w:pos="1440"/>
        </w:tabs>
        <w:spacing w:before="120" w:after="120" w:line="275" w:lineRule="exact"/>
        <w:ind w:left="1440" w:hanging="360"/>
        <w:jc w:val="both"/>
        <w:textAlignment w:val="baseline"/>
        <w:rPr>
          <w:rFonts w:eastAsia="Times New Roman"/>
          <w:color w:val="000000"/>
          <w:sz w:val="24"/>
        </w:rPr>
      </w:pPr>
      <w:r>
        <w:rPr>
          <w:rFonts w:eastAsia="Times New Roman"/>
          <w:color w:val="000000"/>
          <w:sz w:val="24"/>
        </w:rPr>
        <w:t>Review and evaluate annually the performance of the Chief Executive Officer of the Company (the “</w:t>
      </w:r>
      <w:r>
        <w:rPr>
          <w:rFonts w:eastAsia="Times New Roman"/>
          <w:color w:val="000000"/>
          <w:sz w:val="24"/>
          <w:u w:val="single"/>
        </w:rPr>
        <w:t>CEO</w:t>
      </w:r>
      <w:r>
        <w:rPr>
          <w:rFonts w:eastAsia="Times New Roman"/>
          <w:color w:val="000000"/>
          <w:sz w:val="24"/>
        </w:rPr>
        <w:t>”) in light of the goals and objectives of the Company’s executive compensation plans and determine and approve the CEO’s compensation based on such evaluation. In determining any long-term incentive component of the CEO’s compensation, the Committee shall consider all relevant factors, including the Company’s performance and relative stockholder return, the value of similar awards to chief executive officers at comparable companies and the awards given to the CEO in past years.</w:t>
      </w:r>
    </w:p>
    <w:p w14:paraId="7E72AEC1" w14:textId="77777777" w:rsidR="009A4355" w:rsidRDefault="00580C3D" w:rsidP="003C0BFC">
      <w:pPr>
        <w:numPr>
          <w:ilvl w:val="0"/>
          <w:numId w:val="1"/>
        </w:numPr>
        <w:tabs>
          <w:tab w:val="clear" w:pos="360"/>
          <w:tab w:val="left" w:pos="1440"/>
        </w:tabs>
        <w:spacing w:before="120" w:after="120" w:line="275" w:lineRule="exact"/>
        <w:ind w:left="1440" w:hanging="360"/>
        <w:jc w:val="both"/>
        <w:textAlignment w:val="baseline"/>
        <w:rPr>
          <w:rFonts w:eastAsia="Times New Roman"/>
          <w:color w:val="000000"/>
          <w:sz w:val="24"/>
        </w:rPr>
      </w:pPr>
      <w:r>
        <w:rPr>
          <w:rFonts w:eastAsia="Times New Roman"/>
          <w:color w:val="000000"/>
          <w:sz w:val="24"/>
        </w:rPr>
        <w:t>Review and approve the compensation for executive officers, including the review and approval of the design and implementation of any incentive arrangements, equity compensation and supplemental retirement programs.</w:t>
      </w:r>
    </w:p>
    <w:p w14:paraId="10A728C3" w14:textId="77777777" w:rsidR="009A4355" w:rsidRDefault="00580C3D" w:rsidP="003C0BFC">
      <w:pPr>
        <w:numPr>
          <w:ilvl w:val="0"/>
          <w:numId w:val="1"/>
        </w:numPr>
        <w:tabs>
          <w:tab w:val="clear" w:pos="360"/>
          <w:tab w:val="left" w:pos="1440"/>
        </w:tabs>
        <w:spacing w:before="120" w:after="120" w:line="275" w:lineRule="exact"/>
        <w:ind w:left="1440" w:hanging="360"/>
        <w:jc w:val="both"/>
        <w:textAlignment w:val="baseline"/>
        <w:rPr>
          <w:rFonts w:eastAsia="Times New Roman"/>
          <w:color w:val="000000"/>
          <w:sz w:val="24"/>
        </w:rPr>
      </w:pPr>
      <w:r>
        <w:rPr>
          <w:rFonts w:eastAsia="Times New Roman"/>
          <w:color w:val="000000"/>
          <w:sz w:val="24"/>
        </w:rPr>
        <w:t>Review and approve grants and awards to officers and other participants under the Company’s equity-based compensation plans. The Committee shall have full power and authority to administer these plans, establish guidelines, interpret plan documents, select participants, approve grants and awards and exercise such other power and authority as may be permitted or required under such plans.</w:t>
      </w:r>
    </w:p>
    <w:p w14:paraId="77D3840C" w14:textId="77777777" w:rsidR="009A4355" w:rsidRDefault="00580C3D" w:rsidP="003C0BFC">
      <w:pPr>
        <w:numPr>
          <w:ilvl w:val="0"/>
          <w:numId w:val="1"/>
        </w:numPr>
        <w:tabs>
          <w:tab w:val="clear" w:pos="360"/>
          <w:tab w:val="left" w:pos="1440"/>
        </w:tabs>
        <w:spacing w:before="120" w:after="120" w:line="275" w:lineRule="exact"/>
        <w:ind w:left="1440" w:hanging="360"/>
        <w:jc w:val="both"/>
        <w:textAlignment w:val="baseline"/>
        <w:rPr>
          <w:rFonts w:eastAsia="Times New Roman"/>
          <w:color w:val="000000"/>
          <w:sz w:val="24"/>
        </w:rPr>
      </w:pPr>
      <w:r>
        <w:rPr>
          <w:rFonts w:eastAsia="Times New Roman"/>
          <w:color w:val="000000"/>
          <w:sz w:val="24"/>
        </w:rPr>
        <w:t xml:space="preserve">Review and make recommendations to the full Board regarding the amount and types of compensation that should be paid to the Company’s outside directors, to ensure that such pay levels remain competitive, </w:t>
      </w:r>
      <w:proofErr w:type="gramStart"/>
      <w:r>
        <w:rPr>
          <w:rFonts w:eastAsia="Times New Roman"/>
          <w:color w:val="000000"/>
          <w:sz w:val="24"/>
        </w:rPr>
        <w:t>taking into account</w:t>
      </w:r>
      <w:proofErr w:type="gramEnd"/>
      <w:r>
        <w:rPr>
          <w:rFonts w:eastAsia="Times New Roman"/>
          <w:color w:val="000000"/>
          <w:sz w:val="24"/>
        </w:rPr>
        <w:t xml:space="preserve"> such factors as the Company’s size, industry characteristics, location, the practices at comparable companies, and such other factors as the Committee deems relevant.</w:t>
      </w:r>
    </w:p>
    <w:p w14:paraId="087DBDF1" w14:textId="77777777" w:rsidR="009A4355" w:rsidRDefault="00580C3D" w:rsidP="003C0BFC">
      <w:pPr>
        <w:numPr>
          <w:ilvl w:val="0"/>
          <w:numId w:val="1"/>
        </w:numPr>
        <w:tabs>
          <w:tab w:val="clear" w:pos="360"/>
          <w:tab w:val="left" w:pos="1440"/>
        </w:tabs>
        <w:spacing w:before="120" w:after="120" w:line="275" w:lineRule="exact"/>
        <w:ind w:left="1440" w:hanging="360"/>
        <w:jc w:val="both"/>
        <w:textAlignment w:val="baseline"/>
        <w:rPr>
          <w:rFonts w:eastAsia="Times New Roman"/>
          <w:color w:val="000000"/>
          <w:sz w:val="24"/>
        </w:rPr>
      </w:pPr>
      <w:r>
        <w:rPr>
          <w:rFonts w:eastAsia="Times New Roman"/>
          <w:color w:val="000000"/>
          <w:sz w:val="24"/>
        </w:rPr>
        <w:t>Review and approve any employment, severance or termination arrangements to be made with any executive officer of the Company.</w:t>
      </w:r>
    </w:p>
    <w:p w14:paraId="021D8507" w14:textId="77777777" w:rsidR="003C0BFC" w:rsidRDefault="00580C3D" w:rsidP="003C0BFC">
      <w:pPr>
        <w:numPr>
          <w:ilvl w:val="0"/>
          <w:numId w:val="1"/>
        </w:numPr>
        <w:tabs>
          <w:tab w:val="clear" w:pos="360"/>
          <w:tab w:val="left" w:pos="1440"/>
        </w:tabs>
        <w:spacing w:before="120" w:after="120" w:line="275" w:lineRule="exact"/>
        <w:ind w:left="1440" w:hanging="360"/>
        <w:jc w:val="both"/>
        <w:textAlignment w:val="baseline"/>
        <w:rPr>
          <w:rFonts w:eastAsia="Times New Roman"/>
          <w:color w:val="000000"/>
          <w:sz w:val="24"/>
        </w:rPr>
      </w:pPr>
      <w:r>
        <w:rPr>
          <w:rFonts w:eastAsia="Times New Roman"/>
          <w:color w:val="000000"/>
          <w:sz w:val="24"/>
        </w:rPr>
        <w:t>Perform such duties and responsibilities as may be assigned to the Committee under the terms of any executive or employee compensation or benefit plan.</w:t>
      </w:r>
    </w:p>
    <w:p w14:paraId="1F15D498" w14:textId="29C1927D" w:rsidR="009A4355" w:rsidRPr="003C0BFC" w:rsidRDefault="00580C3D" w:rsidP="003C0BFC">
      <w:pPr>
        <w:numPr>
          <w:ilvl w:val="0"/>
          <w:numId w:val="1"/>
        </w:numPr>
        <w:tabs>
          <w:tab w:val="clear" w:pos="360"/>
          <w:tab w:val="left" w:pos="1440"/>
        </w:tabs>
        <w:spacing w:before="120" w:after="120" w:line="275" w:lineRule="exact"/>
        <w:ind w:left="1440" w:hanging="360"/>
        <w:jc w:val="both"/>
        <w:textAlignment w:val="baseline"/>
        <w:rPr>
          <w:rFonts w:eastAsia="Times New Roman"/>
          <w:color w:val="000000"/>
          <w:sz w:val="24"/>
        </w:rPr>
      </w:pPr>
      <w:r w:rsidRPr="003C0BFC">
        <w:rPr>
          <w:rFonts w:eastAsia="Times New Roman"/>
          <w:color w:val="000000"/>
          <w:spacing w:val="1"/>
          <w:sz w:val="24"/>
        </w:rPr>
        <w:t xml:space="preserve">Review all equity compensation plans under the listing standards of </w:t>
      </w:r>
      <w:r w:rsidR="005E7374" w:rsidRPr="003C0BFC">
        <w:rPr>
          <w:rFonts w:eastAsia="Times New Roman"/>
          <w:color w:val="000000"/>
          <w:spacing w:val="1"/>
          <w:sz w:val="24"/>
        </w:rPr>
        <w:t>the NYSE</w:t>
      </w:r>
      <w:r w:rsidRPr="003C0BFC">
        <w:rPr>
          <w:rFonts w:eastAsia="Times New Roman"/>
          <w:color w:val="000000"/>
          <w:spacing w:val="1"/>
          <w:sz w:val="24"/>
        </w:rPr>
        <w:t xml:space="preserve"> or such other national securities exchange or stock market on which the Company’s securities may be listed and approve such plans in the Committee’s sole discretion.</w:t>
      </w:r>
    </w:p>
    <w:p w14:paraId="238990E7" w14:textId="77777777" w:rsidR="009A4355" w:rsidRDefault="00580C3D" w:rsidP="003C0BFC">
      <w:pPr>
        <w:numPr>
          <w:ilvl w:val="0"/>
          <w:numId w:val="1"/>
        </w:numPr>
        <w:tabs>
          <w:tab w:val="clear" w:pos="360"/>
          <w:tab w:val="left" w:pos="1440"/>
        </w:tabs>
        <w:spacing w:before="120" w:after="120" w:line="275" w:lineRule="exact"/>
        <w:ind w:left="1440" w:hanging="360"/>
        <w:jc w:val="both"/>
        <w:textAlignment w:val="baseline"/>
        <w:rPr>
          <w:rFonts w:eastAsia="Times New Roman"/>
          <w:color w:val="000000"/>
          <w:spacing w:val="-1"/>
          <w:sz w:val="24"/>
        </w:rPr>
      </w:pPr>
      <w:r>
        <w:rPr>
          <w:rFonts w:eastAsia="Times New Roman"/>
          <w:color w:val="000000"/>
          <w:spacing w:val="-1"/>
          <w:sz w:val="24"/>
        </w:rPr>
        <w:t>Annually assist management in drafting the Company’s Compensation Discussion and Analysis (“</w:t>
      </w:r>
      <w:r>
        <w:rPr>
          <w:rFonts w:eastAsia="Times New Roman"/>
          <w:color w:val="000000"/>
          <w:spacing w:val="-1"/>
          <w:sz w:val="24"/>
          <w:u w:val="single"/>
        </w:rPr>
        <w:t>CD&amp;A</w:t>
      </w:r>
      <w:r>
        <w:rPr>
          <w:rFonts w:eastAsia="Times New Roman"/>
          <w:color w:val="000000"/>
          <w:spacing w:val="-1"/>
          <w:sz w:val="24"/>
        </w:rPr>
        <w:t>”) to be included in the Company’s public filings with the Securities and Exchange Commission by (i) articulating the discussion and analysis to be included in the CD&amp;A, (ii) participating in or overseeing the drafting of the CD&amp;A and (iii) reviewing the CD&amp;A with management and determining whether to recommend to the Board that the CD&amp;A be included in the Company’s annual report on Form 10-K and proxy statement, as applicable.</w:t>
      </w:r>
    </w:p>
    <w:p w14:paraId="6F88C4E8" w14:textId="77777777" w:rsidR="009A4355" w:rsidRDefault="00580C3D" w:rsidP="003C0BFC">
      <w:pPr>
        <w:numPr>
          <w:ilvl w:val="0"/>
          <w:numId w:val="1"/>
        </w:numPr>
        <w:tabs>
          <w:tab w:val="clear" w:pos="360"/>
          <w:tab w:val="left" w:pos="1440"/>
        </w:tabs>
        <w:spacing w:before="120" w:after="120" w:line="275" w:lineRule="exact"/>
        <w:ind w:left="1440" w:hanging="360"/>
        <w:jc w:val="both"/>
        <w:textAlignment w:val="baseline"/>
        <w:rPr>
          <w:rFonts w:eastAsia="Times New Roman"/>
          <w:color w:val="000000"/>
          <w:sz w:val="24"/>
        </w:rPr>
      </w:pPr>
      <w:r>
        <w:rPr>
          <w:rFonts w:eastAsia="Times New Roman"/>
          <w:color w:val="000000"/>
          <w:sz w:val="24"/>
        </w:rPr>
        <w:t xml:space="preserve">Prepare a report annually to be filed with the Company’s annual report on Form 10-K and proxy </w:t>
      </w:r>
      <w:r w:rsidRPr="003C0BFC">
        <w:rPr>
          <w:rFonts w:eastAsia="Times New Roman"/>
          <w:color w:val="000000"/>
          <w:spacing w:val="-1"/>
          <w:sz w:val="24"/>
        </w:rPr>
        <w:t>statement</w:t>
      </w:r>
      <w:r>
        <w:rPr>
          <w:rFonts w:eastAsia="Times New Roman"/>
          <w:color w:val="000000"/>
          <w:sz w:val="24"/>
        </w:rPr>
        <w:t>, as applicable, to state whether the Committee has reviewed and discussed the CD&amp;A with management and, based on such review and discussions, whether the Committee has recommended to the Board that the CD&amp;A be included in the Company’s annual report on Form 10-K and proxy statement, as applicable.</w:t>
      </w:r>
    </w:p>
    <w:p w14:paraId="6CF6F40F" w14:textId="77777777" w:rsidR="009A4355" w:rsidRPr="003C0BFC" w:rsidRDefault="00580C3D" w:rsidP="003C0BFC">
      <w:pPr>
        <w:numPr>
          <w:ilvl w:val="0"/>
          <w:numId w:val="1"/>
        </w:numPr>
        <w:tabs>
          <w:tab w:val="clear" w:pos="360"/>
          <w:tab w:val="left" w:pos="1440"/>
        </w:tabs>
        <w:spacing w:before="120" w:after="120" w:line="275" w:lineRule="exact"/>
        <w:ind w:left="1440" w:hanging="360"/>
        <w:jc w:val="both"/>
        <w:textAlignment w:val="baseline"/>
        <w:rPr>
          <w:rFonts w:eastAsia="Times New Roman"/>
          <w:color w:val="000000"/>
          <w:spacing w:val="-1"/>
          <w:sz w:val="24"/>
        </w:rPr>
      </w:pPr>
      <w:r>
        <w:rPr>
          <w:rFonts w:eastAsia="Times New Roman"/>
          <w:color w:val="000000"/>
          <w:sz w:val="24"/>
        </w:rPr>
        <w:t>Report to the Board periodically. This report shall include a review of any determin</w:t>
      </w:r>
      <w:r w:rsidRPr="003C0BFC">
        <w:rPr>
          <w:rFonts w:eastAsia="Times New Roman"/>
          <w:color w:val="000000"/>
          <w:spacing w:val="-1"/>
          <w:sz w:val="24"/>
        </w:rPr>
        <w:t>ations, recommendations or issues that arise with respect to Company compensation philosophy, policies and objectives, executive compensation, management succession planning and any other matters that the Committee deems appropriate or is requested to be included by the Board.</w:t>
      </w:r>
    </w:p>
    <w:p w14:paraId="58FDE659" w14:textId="77777777" w:rsidR="009A4355" w:rsidRDefault="00580C3D" w:rsidP="003C0BFC">
      <w:pPr>
        <w:numPr>
          <w:ilvl w:val="0"/>
          <w:numId w:val="1"/>
        </w:numPr>
        <w:tabs>
          <w:tab w:val="clear" w:pos="360"/>
          <w:tab w:val="left" w:pos="1440"/>
        </w:tabs>
        <w:spacing w:before="120" w:after="120" w:line="275" w:lineRule="exact"/>
        <w:ind w:left="1440" w:hanging="360"/>
        <w:jc w:val="both"/>
        <w:textAlignment w:val="baseline"/>
        <w:rPr>
          <w:rFonts w:eastAsia="Times New Roman"/>
          <w:color w:val="000000"/>
          <w:sz w:val="24"/>
        </w:rPr>
      </w:pPr>
      <w:r w:rsidRPr="003C0BFC">
        <w:rPr>
          <w:rFonts w:eastAsia="Times New Roman"/>
          <w:color w:val="000000"/>
          <w:spacing w:val="-1"/>
          <w:sz w:val="24"/>
        </w:rPr>
        <w:t xml:space="preserve">Evaluate at least </w:t>
      </w:r>
      <w:proofErr w:type="gramStart"/>
      <w:r w:rsidRPr="003C0BFC">
        <w:rPr>
          <w:rFonts w:eastAsia="Times New Roman"/>
          <w:color w:val="000000"/>
          <w:spacing w:val="-1"/>
          <w:sz w:val="24"/>
        </w:rPr>
        <w:t>annually,</w:t>
      </w:r>
      <w:proofErr w:type="gramEnd"/>
      <w:r w:rsidRPr="003C0BFC">
        <w:rPr>
          <w:rFonts w:eastAsia="Times New Roman"/>
          <w:color w:val="000000"/>
          <w:spacing w:val="-1"/>
          <w:sz w:val="24"/>
        </w:rPr>
        <w:t xml:space="preserve"> its own performance and report to the Board on such evaluat</w:t>
      </w:r>
      <w:r>
        <w:rPr>
          <w:rFonts w:eastAsia="Times New Roman"/>
          <w:color w:val="000000"/>
          <w:sz w:val="24"/>
        </w:rPr>
        <w:t>ion.</w:t>
      </w:r>
    </w:p>
    <w:p w14:paraId="1F7ACAC3" w14:textId="77777777" w:rsidR="009A4355" w:rsidRDefault="00580C3D" w:rsidP="003C0BFC">
      <w:pPr>
        <w:numPr>
          <w:ilvl w:val="0"/>
          <w:numId w:val="1"/>
        </w:numPr>
        <w:tabs>
          <w:tab w:val="clear" w:pos="360"/>
          <w:tab w:val="left" w:pos="1440"/>
        </w:tabs>
        <w:spacing w:before="120" w:after="120" w:line="275" w:lineRule="exact"/>
        <w:ind w:left="1440" w:hanging="360"/>
        <w:jc w:val="both"/>
        <w:textAlignment w:val="baseline"/>
        <w:rPr>
          <w:rFonts w:eastAsia="Times New Roman"/>
          <w:color w:val="000000"/>
          <w:sz w:val="24"/>
        </w:rPr>
      </w:pPr>
      <w:r w:rsidRPr="003C0BFC">
        <w:rPr>
          <w:rFonts w:eastAsia="Times New Roman"/>
          <w:color w:val="000000"/>
          <w:spacing w:val="-1"/>
          <w:sz w:val="24"/>
        </w:rPr>
        <w:t>Periodically</w:t>
      </w:r>
      <w:r>
        <w:rPr>
          <w:rFonts w:eastAsia="Times New Roman"/>
          <w:color w:val="000000"/>
          <w:sz w:val="24"/>
        </w:rPr>
        <w:t xml:space="preserve"> review and assess the adequacy of this charter and recommend any proposed changes to the Board.</w:t>
      </w:r>
    </w:p>
    <w:p w14:paraId="44C159EE" w14:textId="77777777" w:rsidR="009A4355" w:rsidRPr="003C0BFC" w:rsidRDefault="00580C3D" w:rsidP="003C0BFC">
      <w:pPr>
        <w:numPr>
          <w:ilvl w:val="0"/>
          <w:numId w:val="1"/>
        </w:numPr>
        <w:tabs>
          <w:tab w:val="clear" w:pos="360"/>
          <w:tab w:val="left" w:pos="1440"/>
        </w:tabs>
        <w:spacing w:before="120" w:after="120" w:line="275" w:lineRule="exact"/>
        <w:ind w:left="1440" w:hanging="360"/>
        <w:jc w:val="both"/>
        <w:textAlignment w:val="baseline"/>
        <w:rPr>
          <w:rFonts w:eastAsia="Times New Roman"/>
          <w:color w:val="000000"/>
          <w:spacing w:val="-1"/>
          <w:sz w:val="24"/>
        </w:rPr>
      </w:pPr>
      <w:r>
        <w:rPr>
          <w:rFonts w:eastAsia="Times New Roman"/>
          <w:color w:val="000000"/>
          <w:sz w:val="24"/>
        </w:rPr>
        <w:t>Engage</w:t>
      </w:r>
      <w:r w:rsidRPr="003C0BFC">
        <w:rPr>
          <w:rFonts w:eastAsia="Times New Roman"/>
          <w:color w:val="000000"/>
          <w:spacing w:val="-1"/>
          <w:sz w:val="24"/>
        </w:rPr>
        <w:t xml:space="preserve"> independent counsel and other advisers as the Committee deems necessary to carry out its duties.</w:t>
      </w:r>
    </w:p>
    <w:p w14:paraId="48A3D70D" w14:textId="77777777" w:rsidR="009A4355" w:rsidRDefault="00580C3D" w:rsidP="003C0BFC">
      <w:pPr>
        <w:numPr>
          <w:ilvl w:val="0"/>
          <w:numId w:val="1"/>
        </w:numPr>
        <w:tabs>
          <w:tab w:val="clear" w:pos="360"/>
          <w:tab w:val="left" w:pos="1440"/>
        </w:tabs>
        <w:spacing w:before="120" w:after="120" w:line="275" w:lineRule="exact"/>
        <w:ind w:left="1440" w:hanging="360"/>
        <w:jc w:val="both"/>
        <w:textAlignment w:val="baseline"/>
        <w:rPr>
          <w:rFonts w:eastAsia="Times New Roman"/>
          <w:color w:val="000000"/>
          <w:sz w:val="24"/>
        </w:rPr>
      </w:pPr>
      <w:r w:rsidRPr="003C0BFC">
        <w:rPr>
          <w:rFonts w:eastAsia="Times New Roman"/>
          <w:color w:val="000000"/>
          <w:spacing w:val="-1"/>
          <w:sz w:val="24"/>
        </w:rPr>
        <w:t>Determine the appropriate funding needed by the Committee (at the expense of the Company</w:t>
      </w:r>
      <w:r>
        <w:rPr>
          <w:rFonts w:eastAsia="Times New Roman"/>
          <w:color w:val="000000"/>
          <w:sz w:val="24"/>
        </w:rPr>
        <w:t>) for (i) payment of compensation to any independent counsel and other advisers employed by the Committee as it deems necessary to carry out its duties and (ii) ordinary administrative expenses of the Committee that are necessary or appropriate in carrying out its duties.</w:t>
      </w:r>
    </w:p>
    <w:p w14:paraId="507DF486" w14:textId="77777777" w:rsidR="009A4355" w:rsidRDefault="00580C3D" w:rsidP="003C0BFC">
      <w:pPr>
        <w:numPr>
          <w:ilvl w:val="0"/>
          <w:numId w:val="1"/>
        </w:numPr>
        <w:tabs>
          <w:tab w:val="clear" w:pos="360"/>
          <w:tab w:val="left" w:pos="1440"/>
        </w:tabs>
        <w:spacing w:before="120" w:after="120" w:line="275" w:lineRule="exact"/>
        <w:ind w:left="1440" w:hanging="360"/>
        <w:jc w:val="both"/>
        <w:textAlignment w:val="baseline"/>
        <w:rPr>
          <w:rFonts w:eastAsia="Times New Roman"/>
          <w:color w:val="000000"/>
          <w:sz w:val="24"/>
        </w:rPr>
      </w:pPr>
      <w:r>
        <w:rPr>
          <w:rFonts w:eastAsia="Times New Roman"/>
          <w:color w:val="000000"/>
          <w:sz w:val="24"/>
        </w:rPr>
        <w:t xml:space="preserve">Perform </w:t>
      </w:r>
      <w:r w:rsidRPr="003C0BFC">
        <w:rPr>
          <w:rFonts w:eastAsia="Times New Roman"/>
          <w:color w:val="000000"/>
          <w:spacing w:val="-1"/>
          <w:sz w:val="24"/>
        </w:rPr>
        <w:t>such</w:t>
      </w:r>
      <w:r>
        <w:rPr>
          <w:rFonts w:eastAsia="Times New Roman"/>
          <w:color w:val="000000"/>
          <w:sz w:val="24"/>
        </w:rPr>
        <w:t xml:space="preserve"> other acts incidental to, or arising out of or in connection with, or otherwise related to, the authority granted to the Committee hereby or the carrying out of the Committee’s duties and responsibilities hereunder.</w:t>
      </w:r>
    </w:p>
    <w:p w14:paraId="0B1A9A9D" w14:textId="77777777" w:rsidR="009A4355" w:rsidRDefault="00580C3D" w:rsidP="003C0BFC">
      <w:pPr>
        <w:spacing w:before="120" w:after="120" w:line="275" w:lineRule="exact"/>
        <w:jc w:val="center"/>
        <w:textAlignment w:val="baseline"/>
        <w:rPr>
          <w:rFonts w:eastAsia="Times New Roman"/>
          <w:color w:val="000000"/>
          <w:spacing w:val="86"/>
          <w:sz w:val="24"/>
        </w:rPr>
      </w:pPr>
      <w:r>
        <w:rPr>
          <w:rFonts w:eastAsia="Times New Roman"/>
          <w:color w:val="000000"/>
          <w:spacing w:val="86"/>
          <w:sz w:val="24"/>
        </w:rPr>
        <w:t>* * * *</w:t>
      </w:r>
    </w:p>
    <w:p w14:paraId="16AA3C06" w14:textId="77777777" w:rsidR="009A4355" w:rsidRDefault="009A4355" w:rsidP="003C0BFC">
      <w:pPr>
        <w:spacing w:before="120" w:after="120" w:line="275" w:lineRule="exact"/>
        <w:sectPr w:rsidR="009A4355">
          <w:footerReference w:type="default" r:id="rId10"/>
          <w:pgSz w:w="12240" w:h="15840"/>
          <w:pgMar w:top="1440" w:right="1396" w:bottom="584" w:left="2544" w:header="720" w:footer="720" w:gutter="0"/>
          <w:cols w:space="720"/>
        </w:sectPr>
      </w:pPr>
    </w:p>
    <w:p w14:paraId="1BCD747E" w14:textId="24A2F914" w:rsidR="009A4355" w:rsidRDefault="009A4355" w:rsidP="003C0BFC">
      <w:pPr>
        <w:spacing w:before="120" w:after="120" w:line="265" w:lineRule="exact"/>
        <w:jc w:val="center"/>
        <w:textAlignment w:val="baseline"/>
        <w:rPr>
          <w:rFonts w:eastAsia="Times New Roman"/>
          <w:color w:val="000000"/>
          <w:sz w:val="24"/>
        </w:rPr>
      </w:pPr>
    </w:p>
    <w:sectPr w:rsidR="009A4355">
      <w:type w:val="continuous"/>
      <w:pgSz w:w="12240" w:h="15840"/>
      <w:pgMar w:top="1440" w:right="5908" w:bottom="584" w:left="597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39521" w14:textId="77777777" w:rsidR="00784A1C" w:rsidRDefault="00784A1C">
      <w:r>
        <w:separator/>
      </w:r>
    </w:p>
  </w:endnote>
  <w:endnote w:type="continuationSeparator" w:id="0">
    <w:p w14:paraId="02794D85" w14:textId="77777777" w:rsidR="00784A1C" w:rsidRDefault="0078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6308" w14:textId="77777777" w:rsidR="002C6184" w:rsidRDefault="002C6184">
    <w:pPr>
      <w:pStyle w:val="Footer"/>
    </w:pPr>
  </w:p>
  <w:p w14:paraId="61018A8B" w14:textId="470386D5" w:rsidR="006F5C85" w:rsidRDefault="002C6184" w:rsidP="002C6184">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13E3B" w14:textId="77777777" w:rsidR="00784A1C" w:rsidRDefault="00784A1C"/>
  </w:footnote>
  <w:footnote w:type="continuationSeparator" w:id="0">
    <w:p w14:paraId="3CB593C9" w14:textId="77777777" w:rsidR="00784A1C" w:rsidRDefault="00784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D068D"/>
    <w:multiLevelType w:val="multilevel"/>
    <w:tmpl w:val="0CF6A182"/>
    <w:lvl w:ilvl="0">
      <w:start w:val="3"/>
      <w:numFmt w:val="upperRoman"/>
      <w:lvlText w:val="%1."/>
      <w:lvlJc w:val="left"/>
      <w:pPr>
        <w:tabs>
          <w:tab w:val="left" w:pos="720"/>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7F7315"/>
    <w:multiLevelType w:val="multilevel"/>
    <w:tmpl w:val="9EC6B102"/>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57704586">
    <w:abstractNumId w:val="1"/>
  </w:num>
  <w:num w:numId="2" w16cid:durableId="243078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grammar="clean"/>
  <w:defaultTabStop w:val="720"/>
  <w:characterSpacingControl w:val="doNotCompress"/>
  <w:savePreviewPicture/>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355"/>
    <w:rsid w:val="000228B7"/>
    <w:rsid w:val="000C124A"/>
    <w:rsid w:val="00145766"/>
    <w:rsid w:val="00226649"/>
    <w:rsid w:val="002B185C"/>
    <w:rsid w:val="002C6184"/>
    <w:rsid w:val="00317795"/>
    <w:rsid w:val="003C0BFC"/>
    <w:rsid w:val="00507860"/>
    <w:rsid w:val="00580C3D"/>
    <w:rsid w:val="00590EC3"/>
    <w:rsid w:val="005A3207"/>
    <w:rsid w:val="005E7374"/>
    <w:rsid w:val="006E691A"/>
    <w:rsid w:val="006F5C85"/>
    <w:rsid w:val="00784A1C"/>
    <w:rsid w:val="008A6DA2"/>
    <w:rsid w:val="008C562D"/>
    <w:rsid w:val="008F5971"/>
    <w:rsid w:val="0094639C"/>
    <w:rsid w:val="009603BE"/>
    <w:rsid w:val="009A4355"/>
    <w:rsid w:val="009D260C"/>
    <w:rsid w:val="00BD1764"/>
    <w:rsid w:val="00BF4128"/>
    <w:rsid w:val="00CF63D7"/>
    <w:rsid w:val="00CF7DDC"/>
    <w:rsid w:val="00F078FD"/>
    <w:rsid w:val="00F76D2B"/>
    <w:rsid w:val="41EE6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9E186"/>
  <w15:docId w15:val="{0AD9D119-F16D-491B-ACB0-BE8D5E6E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C85"/>
    <w:pPr>
      <w:tabs>
        <w:tab w:val="center" w:pos="4680"/>
        <w:tab w:val="right" w:pos="9360"/>
      </w:tabs>
    </w:pPr>
  </w:style>
  <w:style w:type="character" w:customStyle="1" w:styleId="HeaderChar">
    <w:name w:val="Header Char"/>
    <w:basedOn w:val="DefaultParagraphFont"/>
    <w:link w:val="Header"/>
    <w:uiPriority w:val="99"/>
    <w:rsid w:val="006F5C85"/>
  </w:style>
  <w:style w:type="paragraph" w:styleId="Footer">
    <w:name w:val="footer"/>
    <w:basedOn w:val="Normal"/>
    <w:link w:val="FooterChar"/>
    <w:uiPriority w:val="99"/>
    <w:unhideWhenUsed/>
    <w:rsid w:val="006F5C85"/>
    <w:pPr>
      <w:tabs>
        <w:tab w:val="center" w:pos="4680"/>
        <w:tab w:val="right" w:pos="9360"/>
      </w:tabs>
    </w:pPr>
  </w:style>
  <w:style w:type="character" w:customStyle="1" w:styleId="FooterChar">
    <w:name w:val="Footer Char"/>
    <w:basedOn w:val="DefaultParagraphFont"/>
    <w:link w:val="Footer"/>
    <w:uiPriority w:val="99"/>
    <w:rsid w:val="006F5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F15E894A20AB4A8C08CB36E56A7D57" ma:contentTypeVersion="11" ma:contentTypeDescription="Create a new document." ma:contentTypeScope="" ma:versionID="3be11c79c3cebfc135e48e7736a37c3e">
  <xsd:schema xmlns:xsd="http://www.w3.org/2001/XMLSchema" xmlns:xs="http://www.w3.org/2001/XMLSchema" xmlns:p="http://schemas.microsoft.com/office/2006/metadata/properties" xmlns:ns2="c2b84374-c7b4-4c9f-a8cd-f2be2dc14ae3" xmlns:ns3="729ba519-fdf0-4d1e-822f-a497148b3b76" targetNamespace="http://schemas.microsoft.com/office/2006/metadata/properties" ma:root="true" ma:fieldsID="db4614b501e98c6ecae9c92226ee3a90" ns2:_="" ns3:_="">
    <xsd:import namespace="c2b84374-c7b4-4c9f-a8cd-f2be2dc14ae3"/>
    <xsd:import namespace="729ba519-fdf0-4d1e-822f-a497148b3b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84374-c7b4-4c9f-a8cd-f2be2dc14a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9ba519-fdf0-4d1e-822f-a497148b3b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A08CC4-AF6C-448C-9D57-85A9955C0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84374-c7b4-4c9f-a8cd-f2be2dc14ae3"/>
    <ds:schemaRef ds:uri="729ba519-fdf0-4d1e-822f-a497148b3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CF832-4189-4E2B-B683-379A8D0AD06F}">
  <ds:schemaRefs>
    <ds:schemaRef ds:uri="http://schemas.microsoft.com/sharepoint/v3/contenttype/forms"/>
  </ds:schemaRefs>
</ds:datastoreItem>
</file>

<file path=customXml/itemProps3.xml><?xml version="1.0" encoding="utf-8"?>
<ds:datastoreItem xmlns:ds="http://schemas.openxmlformats.org/officeDocument/2006/customXml" ds:itemID="{E985D323-3BFA-489A-9258-54C3F1DF59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1536</Words>
  <Characters>8758</Characters>
  <Application>Microsoft Office Word</Application>
  <DocSecurity>0</DocSecurity>
  <Lines>72</Lines>
  <Paragraphs>20</Paragraphs>
  <ScaleCrop>false</ScaleCrop>
  <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Graphex Policies.doc</dc:title>
  <cp:lastModifiedBy>Richard Morris</cp:lastModifiedBy>
  <cp:revision>5</cp:revision>
  <dcterms:created xsi:type="dcterms:W3CDTF">2023-10-13T05:09:00Z</dcterms:created>
  <dcterms:modified xsi:type="dcterms:W3CDTF">2023-10-13T05:15:00Z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0x01010056F15E894A20AB4A8C08CB36E56A7D57</vt:lpwstr>
  </property>
</Properties>
</file>