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89C3" w14:textId="74080E5F" w:rsidR="009B48BA" w:rsidRPr="009B48BA" w:rsidRDefault="00252E2A" w:rsidP="009B48BA">
      <w:pPr>
        <w:pStyle w:val="LexisNexisTitle"/>
      </w:pPr>
      <w:r>
        <w:t xml:space="preserve">STATEMENT OF </w:t>
      </w:r>
      <w:r w:rsidR="009B48BA" w:rsidRPr="009B48BA">
        <w:t>Compensation Clawback Policy</w:t>
      </w:r>
    </w:p>
    <w:p w14:paraId="7DEBA4CF" w14:textId="77777777" w:rsidR="00252E2A" w:rsidRDefault="009B48BA" w:rsidP="00A2537D">
      <w:pPr>
        <w:pStyle w:val="LexisNexisList1"/>
        <w:rPr>
          <w:rStyle w:val="Heading1Char"/>
        </w:rPr>
      </w:pPr>
      <w:r w:rsidRPr="009B48BA">
        <w:rPr>
          <w:rStyle w:val="Heading1Char"/>
        </w:rPr>
        <w:t>Purpose and Scope.</w:t>
      </w:r>
      <w:r>
        <w:rPr>
          <w:rStyle w:val="Heading1Char"/>
        </w:rPr>
        <w:t xml:space="preserve"> </w:t>
      </w:r>
    </w:p>
    <w:p w14:paraId="463929B1" w14:textId="77777777" w:rsidR="00252E2A" w:rsidRPr="00252E2A" w:rsidRDefault="005E50A9" w:rsidP="00252E2A">
      <w:pPr>
        <w:pStyle w:val="LexisNexisList2"/>
        <w:rPr>
          <w:rFonts w:eastAsiaTheme="majorEastAsia" w:cstheme="majorBidi"/>
          <w:b/>
          <w:szCs w:val="32"/>
        </w:rPr>
      </w:pPr>
      <w:r>
        <w:t>Graphex Group Limited (“</w:t>
      </w:r>
      <w:r w:rsidRPr="007D7A15">
        <w:rPr>
          <w:b/>
          <w:bCs/>
        </w:rPr>
        <w:t>Graphex</w:t>
      </w:r>
      <w:r>
        <w:t>” or the “</w:t>
      </w:r>
      <w:r w:rsidRPr="007D7A15">
        <w:rPr>
          <w:b/>
          <w:bCs/>
        </w:rPr>
        <w:t>Company</w:t>
      </w:r>
      <w:r>
        <w:t>”), i</w:t>
      </w:r>
      <w:r w:rsidRPr="005E50A9">
        <w:t xml:space="preserve">s </w:t>
      </w:r>
      <w:r>
        <w:t xml:space="preserve">a company </w:t>
      </w:r>
      <w:r w:rsidRPr="005E50A9">
        <w:t>with its ordinary shares listed on The Stock Exchange of Hong Kong Limited (“</w:t>
      </w:r>
      <w:r w:rsidRPr="007D7A15">
        <w:rPr>
          <w:b/>
          <w:bCs/>
        </w:rPr>
        <w:t>HKSE</w:t>
      </w:r>
      <w:r w:rsidRPr="005E50A9">
        <w:t>”)</w:t>
      </w:r>
      <w:r>
        <w:t xml:space="preserve"> and with its American Deposit</w:t>
      </w:r>
      <w:r w:rsidR="00C46BAA">
        <w:t>ary</w:t>
      </w:r>
      <w:r>
        <w:t xml:space="preserve"> Shares </w:t>
      </w:r>
      <w:r w:rsidR="00C46BAA">
        <w:t>the represent the Company’s ordinary shares (the “</w:t>
      </w:r>
      <w:r w:rsidR="00C46BAA" w:rsidRPr="007D7A15">
        <w:rPr>
          <w:b/>
          <w:bCs/>
        </w:rPr>
        <w:t>ADSs</w:t>
      </w:r>
      <w:r w:rsidR="00C46BAA">
        <w:t xml:space="preserve">”), which ADSs are </w:t>
      </w:r>
      <w:r>
        <w:t>admitted for trading on the NYSE American Exchange (“</w:t>
      </w:r>
      <w:r w:rsidRPr="007D7A15">
        <w:rPr>
          <w:b/>
          <w:bCs/>
        </w:rPr>
        <w:t>NYSE</w:t>
      </w:r>
      <w:r>
        <w:t>”)</w:t>
      </w:r>
      <w:r w:rsidRPr="005E50A9">
        <w:t xml:space="preserve">. </w:t>
      </w:r>
    </w:p>
    <w:p w14:paraId="76940FF0" w14:textId="5098A315" w:rsidR="00252E2A" w:rsidRPr="00252E2A" w:rsidRDefault="005E50A9" w:rsidP="00252E2A">
      <w:pPr>
        <w:pStyle w:val="LexisNexisList2"/>
        <w:rPr>
          <w:rFonts w:eastAsiaTheme="majorEastAsia" w:cstheme="majorBidi"/>
          <w:b/>
          <w:szCs w:val="32"/>
        </w:rPr>
      </w:pPr>
      <w:r>
        <w:t xml:space="preserve">The Company has adopted </w:t>
      </w:r>
      <w:r w:rsidR="00C46BAA">
        <w:t>a ne</w:t>
      </w:r>
      <w:r w:rsidR="00C46BAA" w:rsidRPr="00C46BAA">
        <w:t xml:space="preserve">w share award scheme </w:t>
      </w:r>
      <w:r w:rsidR="00C46BAA">
        <w:t>(the “</w:t>
      </w:r>
      <w:r w:rsidR="00C46BAA" w:rsidRPr="007D7A15">
        <w:rPr>
          <w:b/>
          <w:bCs/>
        </w:rPr>
        <w:t>2023 Share Award Scheme</w:t>
      </w:r>
      <w:r w:rsidR="00C46BAA">
        <w:t xml:space="preserve">”) at its </w:t>
      </w:r>
      <w:r w:rsidR="00C46BAA" w:rsidRPr="00C46BAA">
        <w:t>extraordinary general meeting of the Company</w:t>
      </w:r>
      <w:r w:rsidR="00C46BAA">
        <w:t xml:space="preserve"> held 6 February 2023</w:t>
      </w:r>
      <w:r w:rsidR="006C7F77">
        <w:t xml:space="preserve"> (the “</w:t>
      </w:r>
      <w:r w:rsidR="006C7F77" w:rsidRPr="007D7A15">
        <w:rPr>
          <w:b/>
          <w:bCs/>
        </w:rPr>
        <w:t>EGM</w:t>
      </w:r>
      <w:r w:rsidR="006C7F77">
        <w:t>”)</w:t>
      </w:r>
      <w:r w:rsidR="00C46BAA">
        <w:t xml:space="preserve">.  The </w:t>
      </w:r>
      <w:r w:rsidR="006C7F77">
        <w:t>2023 Share Award Scheme</w:t>
      </w:r>
      <w:r w:rsidR="00C46BAA">
        <w:t xml:space="preserve"> includes a Clawback Mechanism (the “</w:t>
      </w:r>
      <w:r w:rsidR="00C46BAA" w:rsidRPr="007D7A15">
        <w:rPr>
          <w:b/>
          <w:bCs/>
        </w:rPr>
        <w:t>Clawback Mechanism</w:t>
      </w:r>
      <w:r w:rsidR="00C46BAA">
        <w:t>”</w:t>
      </w:r>
      <w:r w:rsidR="00252E2A">
        <w:t>)</w:t>
      </w:r>
      <w:r w:rsidR="00C46BAA">
        <w:t xml:space="preserve"> that is described in Section 10 of the Appendix “</w:t>
      </w:r>
      <w:r w:rsidR="00C46BAA" w:rsidRPr="00C46BAA">
        <w:t xml:space="preserve">Summary </w:t>
      </w:r>
      <w:r w:rsidR="00C46BAA">
        <w:t>of</w:t>
      </w:r>
      <w:r w:rsidR="00C46BAA" w:rsidRPr="00C46BAA">
        <w:t xml:space="preserve"> </w:t>
      </w:r>
      <w:r w:rsidR="00C46BAA">
        <w:t>the</w:t>
      </w:r>
      <w:r w:rsidR="00C46BAA" w:rsidRPr="00C46BAA">
        <w:t xml:space="preserve"> 2023 Share Award Scheme</w:t>
      </w:r>
      <w:r w:rsidR="00C46BAA">
        <w:t>” that was attached to the Circular for the Proposed Adoption of Share Award Scheme and Notice of Extraordinary General Meeting dated January 12, 2023</w:t>
      </w:r>
      <w:r w:rsidR="00252E2A">
        <w:t xml:space="preserve">.  </w:t>
      </w:r>
    </w:p>
    <w:p w14:paraId="5B806909" w14:textId="2D4E22CF" w:rsidR="00252E2A" w:rsidRPr="00252E2A" w:rsidRDefault="00252E2A" w:rsidP="00252E2A">
      <w:pPr>
        <w:pStyle w:val="LexisNexisList2"/>
        <w:rPr>
          <w:rFonts w:eastAsiaTheme="majorEastAsia" w:cstheme="majorBidi"/>
          <w:b/>
          <w:szCs w:val="32"/>
        </w:rPr>
      </w:pPr>
      <w:r>
        <w:t>The Company is required to comply with certain policies and rules</w:t>
      </w:r>
      <w:r w:rsidR="00120697">
        <w:t xml:space="preserve"> (the “</w:t>
      </w:r>
      <w:r w:rsidR="00120697" w:rsidRPr="00852B28">
        <w:rPr>
          <w:b/>
          <w:bCs/>
        </w:rPr>
        <w:t>Requirements</w:t>
      </w:r>
      <w:r w:rsidR="00120697">
        <w:t>”)</w:t>
      </w:r>
      <w:r>
        <w:t>, including rules under the HKSE and NYSE and the federal securities laws of the United States and other jurisdictions</w:t>
      </w:r>
      <w:r>
        <w:t xml:space="preserve">, including </w:t>
      </w:r>
      <w:r w:rsidRPr="00A312DA">
        <w:t>Section 954 of the Dodd-Frank Wall Street Reform and Consumer Protection Act of 2010 (“</w:t>
      </w:r>
      <w:r w:rsidRPr="007D7A15">
        <w:rPr>
          <w:b/>
          <w:bCs/>
        </w:rPr>
        <w:t>Dodd-Frank</w:t>
      </w:r>
      <w:r w:rsidRPr="00A312DA">
        <w:t>”)</w:t>
      </w:r>
      <w:r>
        <w:t>,</w:t>
      </w:r>
      <w:r w:rsidRPr="00A312DA">
        <w:t xml:space="preserve"> as codified by Section 10D of the Securities Exchange Act of 1934 (the “</w:t>
      </w:r>
      <w:r w:rsidRPr="007D7A15">
        <w:rPr>
          <w:b/>
          <w:bCs/>
        </w:rPr>
        <w:t>Exchange Act</w:t>
      </w:r>
      <w:r w:rsidRPr="00A312DA">
        <w:t>”)</w:t>
      </w:r>
      <w:r>
        <w:t xml:space="preserve">.  </w:t>
      </w:r>
    </w:p>
    <w:p w14:paraId="1E131521" w14:textId="2E9AE4C4" w:rsidR="005E50A9" w:rsidRPr="00252E2A" w:rsidRDefault="00252E2A" w:rsidP="00252E2A">
      <w:pPr>
        <w:pStyle w:val="LexisNexisList2"/>
        <w:rPr>
          <w:rFonts w:eastAsiaTheme="majorEastAsia" w:cstheme="majorBidi"/>
          <w:b/>
          <w:szCs w:val="32"/>
        </w:rPr>
      </w:pPr>
      <w:r>
        <w:t xml:space="preserve">The </w:t>
      </w:r>
      <w:r w:rsidR="006C7F77">
        <w:t>2023 Share Award Scheme</w:t>
      </w:r>
      <w:r>
        <w:t xml:space="preserve"> was approved by the </w:t>
      </w:r>
      <w:r w:rsidR="00120697">
        <w:t xml:space="preserve">Board of Directors of the Company and the Clawback Mechanism set forth in the </w:t>
      </w:r>
      <w:r w:rsidR="006C7F77">
        <w:t>2023 Share Award Scheme</w:t>
      </w:r>
      <w:r w:rsidR="00120697">
        <w:t xml:space="preserve"> has been approved and complies with the Requirements and sets forth the </w:t>
      </w:r>
      <w:r w:rsidRPr="00A312DA">
        <w:t>compensation clawback policy (the “</w:t>
      </w:r>
      <w:r w:rsidRPr="007D7A15">
        <w:rPr>
          <w:b/>
          <w:bCs/>
        </w:rPr>
        <w:t>Policy</w:t>
      </w:r>
      <w:r w:rsidRPr="00A312DA">
        <w:t>”)</w:t>
      </w:r>
    </w:p>
    <w:p w14:paraId="33FCDA14" w14:textId="4C9B275B" w:rsidR="009B48BA" w:rsidRPr="009B48BA" w:rsidRDefault="00A312DA" w:rsidP="006C7F77">
      <w:pPr>
        <w:pStyle w:val="LexisNexisList2"/>
        <w:rPr>
          <w:rFonts w:eastAsiaTheme="majorEastAsia" w:cstheme="majorBidi"/>
          <w:b/>
          <w:szCs w:val="32"/>
        </w:rPr>
      </w:pPr>
      <w:r w:rsidRPr="00A312DA">
        <w:t>This Policy shall be administered by the Board of Directors of the Company (the “</w:t>
      </w:r>
      <w:r w:rsidRPr="007D7A15">
        <w:rPr>
          <w:b/>
          <w:bCs/>
        </w:rPr>
        <w:t>Board</w:t>
      </w:r>
      <w:r w:rsidRPr="00A312DA">
        <w:t xml:space="preserve">”) </w:t>
      </w:r>
      <w:r w:rsidR="006C7F77">
        <w:t>in accordance with its authority with respect to the 2023 Share Award Scheme.</w:t>
      </w:r>
    </w:p>
    <w:p w14:paraId="0646FBC0" w14:textId="2A40D7E2" w:rsidR="009B48BA" w:rsidRPr="009B48BA" w:rsidRDefault="009B48BA" w:rsidP="009B48BA">
      <w:pPr>
        <w:pStyle w:val="LexisNexisList1"/>
        <w:rPr>
          <w:rFonts w:eastAsiaTheme="majorEastAsia" w:cstheme="majorBidi"/>
          <w:b/>
          <w:szCs w:val="32"/>
        </w:rPr>
      </w:pPr>
      <w:r w:rsidRPr="009B48BA">
        <w:rPr>
          <w:rStyle w:val="Heading1Char"/>
        </w:rPr>
        <w:t>Effective Date</w:t>
      </w:r>
      <w:r>
        <w:rPr>
          <w:rStyle w:val="Heading1Char"/>
        </w:rPr>
        <w:t xml:space="preserve">. </w:t>
      </w:r>
      <w:r w:rsidR="006C7F77">
        <w:t>The</w:t>
      </w:r>
      <w:r w:rsidRPr="009B48BA">
        <w:t xml:space="preserve"> Policy </w:t>
      </w:r>
      <w:r w:rsidR="006C7F77">
        <w:t>has been adopted by the Board and ratified by the holders of the Company’s ordinary shares on the date of the EGM</w:t>
      </w:r>
      <w:r w:rsidRPr="009B48BA">
        <w:t>.</w:t>
      </w:r>
    </w:p>
    <w:p w14:paraId="0B195B9B" w14:textId="31C76528" w:rsidR="009B48BA" w:rsidRPr="009B48BA" w:rsidRDefault="009B48BA" w:rsidP="009B48BA">
      <w:pPr>
        <w:pStyle w:val="LexisNexisList1"/>
        <w:rPr>
          <w:rFonts w:eastAsiaTheme="majorEastAsia" w:cstheme="majorBidi"/>
          <w:b/>
          <w:szCs w:val="32"/>
        </w:rPr>
      </w:pPr>
      <w:r w:rsidRPr="009B48BA">
        <w:rPr>
          <w:rStyle w:val="Heading1Char"/>
        </w:rPr>
        <w:t>Notice</w:t>
      </w:r>
      <w:r>
        <w:rPr>
          <w:rStyle w:val="Heading1Char"/>
        </w:rPr>
        <w:t xml:space="preserve">. </w:t>
      </w:r>
      <w:r w:rsidRPr="009B48BA">
        <w:t xml:space="preserve">Before the Board determines to seek recovery pursuant to this Policy, it </w:t>
      </w:r>
      <w:r w:rsidR="006C7F77">
        <w:t>may</w:t>
      </w:r>
      <w:r w:rsidRPr="009B48BA">
        <w:t xml:space="preserve"> provide the Covered Executive with written notice and the opportunity to be heard at a meeting of the Board (either in person or via telephone).</w:t>
      </w:r>
    </w:p>
    <w:p w14:paraId="66DC0B05" w14:textId="234CBABC" w:rsidR="001B4E07" w:rsidRPr="006C7F77" w:rsidRDefault="009B48BA" w:rsidP="009B48BA">
      <w:pPr>
        <w:pStyle w:val="LexisNexisList1"/>
        <w:rPr>
          <w:rFonts w:eastAsiaTheme="majorEastAsia" w:cstheme="majorBidi"/>
          <w:b/>
          <w:szCs w:val="32"/>
        </w:rPr>
      </w:pPr>
      <w:r w:rsidRPr="009B48BA">
        <w:rPr>
          <w:rStyle w:val="Heading1Char"/>
        </w:rPr>
        <w:t>Amendment and Interpretation</w:t>
      </w:r>
      <w:r>
        <w:rPr>
          <w:rStyle w:val="Heading1Char"/>
        </w:rPr>
        <w:t xml:space="preserve">. </w:t>
      </w:r>
      <w:r w:rsidR="002434C2" w:rsidRPr="002434C2">
        <w:t xml:space="preserve">It is intended that </w:t>
      </w:r>
      <w:r w:rsidR="006C7F77">
        <w:t>the</w:t>
      </w:r>
      <w:r w:rsidR="002434C2" w:rsidRPr="002434C2">
        <w:t xml:space="preserve"> Policy be interpreted in a manner that is consistent with the requirements of Section 10D of the Exchange Act and any applicable rules or standards adopted by the SEC and </w:t>
      </w:r>
      <w:r w:rsidR="007D7A15">
        <w:t>the NYSE</w:t>
      </w:r>
      <w:r w:rsidR="002434C2" w:rsidRPr="002434C2">
        <w:t>.</w:t>
      </w:r>
    </w:p>
    <w:p w14:paraId="2E48A36A" w14:textId="77777777" w:rsidR="006C7F77" w:rsidRDefault="006C7F77" w:rsidP="006C7F77">
      <w:pPr>
        <w:rPr>
          <w:rFonts w:eastAsiaTheme="majorEastAsia"/>
        </w:rPr>
      </w:pPr>
    </w:p>
    <w:p w14:paraId="4CF3ED74" w14:textId="39143504" w:rsidR="006C7F77" w:rsidRDefault="005C4460" w:rsidP="006C7F77">
      <w:pPr>
        <w:rPr>
          <w:rFonts w:eastAsiaTheme="majorEastAsia"/>
          <w:u w:val="single"/>
        </w:rPr>
      </w:pPr>
      <w:r>
        <w:rPr>
          <w:rFonts w:eastAsiaTheme="majorEastAsia"/>
          <w:u w:val="single"/>
        </w:rPr>
        <w:tab/>
      </w:r>
      <w:r>
        <w:rPr>
          <w:rFonts w:eastAsiaTheme="majorEastAsia"/>
          <w:u w:val="single"/>
        </w:rPr>
        <w:tab/>
      </w:r>
      <w:r>
        <w:rPr>
          <w:rFonts w:eastAsiaTheme="majorEastAsia"/>
          <w:u w:val="single"/>
        </w:rPr>
        <w:tab/>
      </w:r>
      <w:r>
        <w:rPr>
          <w:rFonts w:eastAsiaTheme="majorEastAsia"/>
          <w:u w:val="single"/>
        </w:rPr>
        <w:tab/>
      </w:r>
    </w:p>
    <w:p w14:paraId="36B4DFC7" w14:textId="527F85E3" w:rsidR="005C4460" w:rsidRDefault="005C4460" w:rsidP="006C7F77">
      <w:pPr>
        <w:rPr>
          <w:rFonts w:eastAsiaTheme="majorEastAsia"/>
        </w:rPr>
      </w:pPr>
      <w:r>
        <w:rPr>
          <w:rFonts w:eastAsiaTheme="majorEastAsia"/>
        </w:rPr>
        <w:t>Name:</w:t>
      </w:r>
    </w:p>
    <w:p w14:paraId="17AB4644" w14:textId="4E37D565" w:rsidR="005C4460" w:rsidRPr="005C4460" w:rsidRDefault="005C4460" w:rsidP="006C7F77">
      <w:pPr>
        <w:rPr>
          <w:rFonts w:eastAsiaTheme="majorEastAsia"/>
        </w:rPr>
      </w:pPr>
      <w:r>
        <w:rPr>
          <w:rFonts w:eastAsiaTheme="majorEastAsia"/>
        </w:rPr>
        <w:t>Title:</w:t>
      </w:r>
    </w:p>
    <w:sectPr w:rsidR="005C4460" w:rsidRPr="005C4460" w:rsidSect="007E5383">
      <w:footerReference w:type="default" r:id="rId11"/>
      <w:pgSz w:w="12240" w:h="15840"/>
      <w:pgMar w:top="840" w:right="1000" w:bottom="840" w:left="1000" w:header="403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87C9" w14:textId="77777777" w:rsidR="00D40145" w:rsidRDefault="00D40145">
      <w:r>
        <w:separator/>
      </w:r>
    </w:p>
  </w:endnote>
  <w:endnote w:type="continuationSeparator" w:id="0">
    <w:p w14:paraId="170BBE66" w14:textId="77777777" w:rsidR="00D40145" w:rsidRDefault="00D4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B484" w14:textId="4CA81DD9" w:rsidR="007E5383" w:rsidRDefault="007E5383" w:rsidP="007E5383">
    <w:pPr>
      <w:pStyle w:val="LexisNexisPageNumb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518C" w14:textId="77777777" w:rsidR="00D40145" w:rsidRDefault="00D40145">
      <w:r>
        <w:separator/>
      </w:r>
    </w:p>
  </w:footnote>
  <w:footnote w:type="continuationSeparator" w:id="0">
    <w:p w14:paraId="5B116F91" w14:textId="77777777" w:rsidR="00D40145" w:rsidRDefault="00D4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54E"/>
    <w:multiLevelType w:val="multilevel"/>
    <w:tmpl w:val="5772480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04009B9"/>
    <w:multiLevelType w:val="multilevel"/>
    <w:tmpl w:val="E96C6B62"/>
    <w:name w:val="LexisNexisSimpleNumbering"/>
    <w:lvl w:ilvl="0">
      <w:start w:val="1"/>
      <w:numFmt w:val="decimal"/>
      <w:pStyle w:val="LexisNexisList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exisNexisList2"/>
      <w:lvlText w:val="(%2)"/>
      <w:lvlJc w:val="left"/>
      <w:pPr>
        <w:tabs>
          <w:tab w:val="num" w:pos="936"/>
        </w:tabs>
        <w:ind w:left="936" w:hanging="576"/>
      </w:pPr>
      <w:rPr>
        <w:rFonts w:hint="default"/>
        <w:b w:val="0"/>
        <w:i w:val="0"/>
      </w:rPr>
    </w:lvl>
    <w:lvl w:ilvl="2">
      <w:start w:val="1"/>
      <w:numFmt w:val="lowerRoman"/>
      <w:pStyle w:val="LexisNexisList3"/>
      <w:lvlText w:val="(%3)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3">
      <w:start w:val="1"/>
      <w:numFmt w:val="upperLetter"/>
      <w:pStyle w:val="LexisNexisList4"/>
      <w:lvlText w:val="(%4)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4">
      <w:start w:val="1"/>
      <w:numFmt w:val="upperRoman"/>
      <w:lvlText w:val="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upperLetter"/>
      <w:pStyle w:val="LexisNexisList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LexisNexisList7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pStyle w:val="LexisNexisList8"/>
      <w:lvlText w:val="(%8)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8">
      <w:start w:val="1"/>
      <w:numFmt w:val="lowerRoman"/>
      <w:pStyle w:val="LexisNexisList9"/>
      <w:lvlText w:val="(%9)"/>
      <w:lvlJc w:val="left"/>
      <w:pPr>
        <w:tabs>
          <w:tab w:val="num" w:pos="1440"/>
        </w:tabs>
        <w:ind w:left="1440" w:hanging="504"/>
      </w:pPr>
      <w:rPr>
        <w:rFonts w:hint="default"/>
      </w:rPr>
    </w:lvl>
  </w:abstractNum>
  <w:num w:numId="1" w16cid:durableId="212350600">
    <w:abstractNumId w:val="1"/>
  </w:num>
  <w:num w:numId="2" w16cid:durableId="1829399485">
    <w:abstractNumId w:val="0"/>
  </w:num>
  <w:num w:numId="3" w16cid:durableId="957906871">
    <w:abstractNumId w:val="1"/>
  </w:num>
  <w:num w:numId="4" w16cid:durableId="1253590067">
    <w:abstractNumId w:val="1"/>
    <w:lvlOverride w:ilvl="0">
      <w:startOverride w:val="1"/>
    </w:lvlOverride>
    <w:lvlOverride w:ilvl="1">
      <w:startOverride w:val="1"/>
    </w:lvlOverride>
    <w:lvlOverride w:ilvl="2">
      <w:startOverride w:val="2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6293822">
    <w:abstractNumId w:val="1"/>
  </w:num>
  <w:num w:numId="6" w16cid:durableId="11302435">
    <w:abstractNumId w:val="1"/>
    <w:lvlOverride w:ilvl="0">
      <w:startOverride w:val="18"/>
    </w:lvlOverride>
    <w:lvlOverride w:ilvl="1">
      <w:startOverride w:val="14"/>
    </w:lvlOverride>
    <w:lvlOverride w:ilvl="2">
      <w:startOverride w:val="29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6759395">
    <w:abstractNumId w:val="1"/>
    <w:lvlOverride w:ilvl="0">
      <w:startOverride w:val="18"/>
    </w:lvlOverride>
    <w:lvlOverride w:ilvl="1">
      <w:startOverride w:val="14"/>
    </w:lvlOverride>
    <w:lvlOverride w:ilvl="2">
      <w:startOverride w:val="29"/>
    </w:lvlOverride>
    <w:lvlOverride w:ilvl="3">
      <w:startOverride w:val="11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3950458">
    <w:abstractNumId w:val="1"/>
  </w:num>
  <w:num w:numId="9" w16cid:durableId="796990427">
    <w:abstractNumId w:val="1"/>
    <w:lvlOverride w:ilvl="0">
      <w:startOverride w:val="18"/>
    </w:lvlOverride>
    <w:lvlOverride w:ilvl="1">
      <w:startOverride w:val="1"/>
    </w:lvlOverride>
    <w:lvlOverride w:ilvl="2">
      <w:startOverride w:val="2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8616539">
    <w:abstractNumId w:val="1"/>
    <w:lvlOverride w:ilvl="0">
      <w:startOverride w:val="18"/>
    </w:lvlOverride>
    <w:lvlOverride w:ilvl="1">
      <w:startOverride w:val="1"/>
    </w:lvlOverride>
    <w:lvlOverride w:ilvl="2">
      <w:startOverride w:val="2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2970205">
    <w:abstractNumId w:val="1"/>
    <w:lvlOverride w:ilvl="0">
      <w:startOverride w:val="18"/>
    </w:lvlOverride>
    <w:lvlOverride w:ilvl="1">
      <w:startOverride w:val="1"/>
    </w:lvlOverride>
    <w:lvlOverride w:ilvl="2">
      <w:startOverride w:val="2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4364279">
    <w:abstractNumId w:val="1"/>
    <w:lvlOverride w:ilvl="0">
      <w:startOverride w:val="18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6783899">
    <w:abstractNumId w:val="1"/>
  </w:num>
  <w:num w:numId="14" w16cid:durableId="418063454">
    <w:abstractNumId w:val="1"/>
    <w:lvlOverride w:ilvl="0">
      <w:startOverride w:val="18"/>
    </w:lvlOverride>
    <w:lvlOverride w:ilvl="1">
      <w:startOverride w:val="14"/>
    </w:lvlOverride>
    <w:lvlOverride w:ilvl="2">
      <w:startOverride w:val="2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6603588">
    <w:abstractNumId w:val="1"/>
  </w:num>
  <w:num w:numId="16" w16cid:durableId="1767917741">
    <w:abstractNumId w:val="1"/>
    <w:lvlOverride w:ilvl="0">
      <w:startOverride w:val="18"/>
    </w:lvlOverride>
    <w:lvlOverride w:ilvl="1">
      <w:startOverride w:val="14"/>
    </w:lvlOverride>
    <w:lvlOverride w:ilvl="2">
      <w:startOverride w:val="29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0455175">
    <w:abstractNumId w:val="1"/>
  </w:num>
  <w:num w:numId="18" w16cid:durableId="127747965">
    <w:abstractNumId w:val="1"/>
  </w:num>
  <w:num w:numId="19" w16cid:durableId="1910310019">
    <w:abstractNumId w:val="1"/>
    <w:lvlOverride w:ilvl="0">
      <w:startOverride w:val="18"/>
    </w:lvlOverride>
    <w:lvlOverride w:ilvl="1">
      <w:startOverride w:val="14"/>
    </w:lvlOverride>
    <w:lvlOverride w:ilvl="2">
      <w:startOverride w:val="29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5963448">
    <w:abstractNumId w:val="1"/>
    <w:lvlOverride w:ilvl="0">
      <w:startOverride w:val="18"/>
    </w:lvlOverride>
    <w:lvlOverride w:ilvl="1">
      <w:startOverride w:val="14"/>
    </w:lvlOverride>
    <w:lvlOverride w:ilvl="2">
      <w:startOverride w:val="29"/>
    </w:lvlOverride>
    <w:lvlOverride w:ilvl="3">
      <w:startOverride w:val="11"/>
    </w:lvlOverride>
    <w:lvlOverride w:ilvl="4">
      <w:startOverride w:val="1"/>
    </w:lvlOverride>
    <w:lvlOverride w:ilvl="5">
      <w:startOverride w:val="2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7578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9493849">
    <w:abstractNumId w:val="1"/>
    <w:lvlOverride w:ilvl="0">
      <w:startOverride w:val="1"/>
    </w:lvlOverride>
    <w:lvlOverride w:ilvl="1">
      <w:startOverride w:val="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709095">
    <w:abstractNumId w:val="1"/>
  </w:num>
  <w:num w:numId="24" w16cid:durableId="672949777">
    <w:abstractNumId w:val="1"/>
  </w:num>
  <w:num w:numId="25" w16cid:durableId="560096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2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0935228">
    <w:abstractNumId w:val="1"/>
  </w:num>
  <w:num w:numId="27" w16cid:durableId="1859351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1654689">
    <w:abstractNumId w:val="1"/>
    <w:lvlOverride w:ilvl="0">
      <w:startOverride w:val="1"/>
    </w:lvlOverride>
    <w:lvlOverride w:ilvl="1">
      <w:startOverride w:val="1"/>
    </w:lvlOverride>
    <w:lvlOverride w:ilvl="2">
      <w:startOverride w:val="29"/>
    </w:lvlOverride>
    <w:lvlOverride w:ilvl="3">
      <w:startOverride w:val="11"/>
    </w:lvlOverride>
    <w:lvlOverride w:ilvl="4">
      <w:startOverride w:val="1"/>
    </w:lvlOverride>
    <w:lvlOverride w:ilvl="5">
      <w:startOverride w:val="2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0566608">
    <w:abstractNumId w:val="1"/>
    <w:lvlOverride w:ilvl="0">
      <w:startOverride w:val="1"/>
    </w:lvlOverride>
    <w:lvlOverride w:ilvl="1">
      <w:startOverride w:val="1"/>
    </w:lvlOverride>
    <w:lvlOverride w:ilvl="2">
      <w:startOverride w:val="29"/>
    </w:lvlOverride>
    <w:lvlOverride w:ilvl="3">
      <w:startOverride w:val="11"/>
    </w:lvlOverride>
    <w:lvlOverride w:ilvl="4">
      <w:startOverride w:val="1"/>
    </w:lvlOverride>
    <w:lvlOverride w:ilvl="5">
      <w:startOverride w:val="2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952806">
    <w:abstractNumId w:val="1"/>
    <w:lvlOverride w:ilvl="0">
      <w:startOverride w:val="1"/>
    </w:lvlOverride>
    <w:lvlOverride w:ilvl="1">
      <w:startOverride w:val="1"/>
    </w:lvlOverride>
    <w:lvlOverride w:ilvl="2">
      <w:startOverride w:val="29"/>
    </w:lvlOverride>
    <w:lvlOverride w:ilvl="3">
      <w:startOverride w:val="11"/>
    </w:lvlOverride>
    <w:lvlOverride w:ilvl="4">
      <w:startOverride w:val="1"/>
    </w:lvlOverride>
    <w:lvlOverride w:ilvl="5">
      <w:startOverride w:val="2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80342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2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85924815">
    <w:abstractNumId w:val="1"/>
  </w:num>
  <w:num w:numId="33" w16cid:durableId="1048917307">
    <w:abstractNumId w:val="1"/>
  </w:num>
  <w:num w:numId="34" w16cid:durableId="717629701">
    <w:abstractNumId w:val="1"/>
    <w:lvlOverride w:ilvl="0">
      <w:startOverride w:val="1"/>
    </w:lvlOverride>
    <w:lvlOverride w:ilvl="1">
      <w:startOverride w:val="1"/>
    </w:lvlOverride>
    <w:lvlOverride w:ilvl="2">
      <w:startOverride w:val="29"/>
    </w:lvlOverride>
    <w:lvlOverride w:ilvl="3">
      <w:startOverride w:val="11"/>
    </w:lvlOverride>
    <w:lvlOverride w:ilvl="4">
      <w:startOverride w:val="1"/>
    </w:lvlOverride>
    <w:lvlOverride w:ilvl="5">
      <w:startOverride w:val="2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00"/>
    <w:rsid w:val="000427F8"/>
    <w:rsid w:val="00076D93"/>
    <w:rsid w:val="0008539E"/>
    <w:rsid w:val="00091F41"/>
    <w:rsid w:val="0009707F"/>
    <w:rsid w:val="000F6CCD"/>
    <w:rsid w:val="00120697"/>
    <w:rsid w:val="001211D3"/>
    <w:rsid w:val="00126F4D"/>
    <w:rsid w:val="00176588"/>
    <w:rsid w:val="0019592C"/>
    <w:rsid w:val="001B4E07"/>
    <w:rsid w:val="00210E7B"/>
    <w:rsid w:val="00230B7F"/>
    <w:rsid w:val="002434C2"/>
    <w:rsid w:val="00252E2A"/>
    <w:rsid w:val="002903F5"/>
    <w:rsid w:val="002B65DF"/>
    <w:rsid w:val="002C0E77"/>
    <w:rsid w:val="003073F1"/>
    <w:rsid w:val="00345CB0"/>
    <w:rsid w:val="00353616"/>
    <w:rsid w:val="003566F7"/>
    <w:rsid w:val="003C42A6"/>
    <w:rsid w:val="004517D0"/>
    <w:rsid w:val="0046179F"/>
    <w:rsid w:val="004838D1"/>
    <w:rsid w:val="00485151"/>
    <w:rsid w:val="004A7F3D"/>
    <w:rsid w:val="005242F6"/>
    <w:rsid w:val="0055170B"/>
    <w:rsid w:val="00555C91"/>
    <w:rsid w:val="005C4460"/>
    <w:rsid w:val="005E50A9"/>
    <w:rsid w:val="005F6030"/>
    <w:rsid w:val="005F6184"/>
    <w:rsid w:val="00604298"/>
    <w:rsid w:val="006C7F77"/>
    <w:rsid w:val="007212DC"/>
    <w:rsid w:val="00770680"/>
    <w:rsid w:val="00780004"/>
    <w:rsid w:val="007932EF"/>
    <w:rsid w:val="00797350"/>
    <w:rsid w:val="007D082F"/>
    <w:rsid w:val="007D4B02"/>
    <w:rsid w:val="007D7A15"/>
    <w:rsid w:val="007E5383"/>
    <w:rsid w:val="00817E00"/>
    <w:rsid w:val="00852B28"/>
    <w:rsid w:val="00875F34"/>
    <w:rsid w:val="008C3DB6"/>
    <w:rsid w:val="008F0BDB"/>
    <w:rsid w:val="00907CA6"/>
    <w:rsid w:val="009214D6"/>
    <w:rsid w:val="00922D7D"/>
    <w:rsid w:val="00974949"/>
    <w:rsid w:val="009B48BA"/>
    <w:rsid w:val="009C1760"/>
    <w:rsid w:val="00A312DA"/>
    <w:rsid w:val="00A33AA4"/>
    <w:rsid w:val="00A340C4"/>
    <w:rsid w:val="00A85168"/>
    <w:rsid w:val="00B2190C"/>
    <w:rsid w:val="00B23115"/>
    <w:rsid w:val="00B2401E"/>
    <w:rsid w:val="00B70678"/>
    <w:rsid w:val="00B74E78"/>
    <w:rsid w:val="00B8685E"/>
    <w:rsid w:val="00B92254"/>
    <w:rsid w:val="00B9393C"/>
    <w:rsid w:val="00B94518"/>
    <w:rsid w:val="00BB041D"/>
    <w:rsid w:val="00BF3803"/>
    <w:rsid w:val="00C0176F"/>
    <w:rsid w:val="00C46BAA"/>
    <w:rsid w:val="00C76ABA"/>
    <w:rsid w:val="00CE0FDF"/>
    <w:rsid w:val="00D140BF"/>
    <w:rsid w:val="00D3634C"/>
    <w:rsid w:val="00D40145"/>
    <w:rsid w:val="00D65C00"/>
    <w:rsid w:val="00D81487"/>
    <w:rsid w:val="00DE57C3"/>
    <w:rsid w:val="00E2146D"/>
    <w:rsid w:val="00EE0D4C"/>
    <w:rsid w:val="00EF5500"/>
    <w:rsid w:val="00F6114B"/>
    <w:rsid w:val="00F85F4B"/>
    <w:rsid w:val="0D186A80"/>
    <w:rsid w:val="62989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2A2FB"/>
  <w15:docId w15:val="{06D06ECB-D033-4544-9B17-4CBA63C4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LexisNexisBase"/>
    <w:next w:val="LexisNexisList1"/>
    <w:link w:val="Heading1Char"/>
    <w:uiPriority w:val="9"/>
    <w:qFormat/>
    <w:rsid w:val="0055170B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LexisNexisList2"/>
    <w:next w:val="LexisNexisList2"/>
    <w:link w:val="Heading2Char"/>
    <w:uiPriority w:val="9"/>
    <w:unhideWhenUsed/>
    <w:qFormat/>
    <w:rsid w:val="00252E2A"/>
    <w:pPr>
      <w:outlineLvl w:val="1"/>
    </w:pPr>
  </w:style>
  <w:style w:type="paragraph" w:styleId="Heading3">
    <w:name w:val="heading 3"/>
    <w:basedOn w:val="LexisNexisBase"/>
    <w:next w:val="LexisNexisList3"/>
    <w:link w:val="Heading3Char"/>
    <w:uiPriority w:val="9"/>
    <w:unhideWhenUsed/>
    <w:qFormat/>
    <w:rsid w:val="0055170B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LexisNexisBase"/>
    <w:next w:val="LexisNexisList4"/>
    <w:link w:val="Heading4Char"/>
    <w:uiPriority w:val="9"/>
    <w:unhideWhenUsed/>
    <w:qFormat/>
    <w:rsid w:val="007D082F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xisNexisBase">
    <w:name w:val="LexisNexisBase"/>
    <w:qFormat/>
    <w:rsid w:val="009C1760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LexisNexisTitle">
    <w:name w:val="LexisNexisTitle"/>
    <w:basedOn w:val="LexisNexisBase"/>
    <w:next w:val="LexisNexisPara"/>
    <w:qFormat/>
    <w:rsid w:val="00D3634C"/>
    <w:pPr>
      <w:jc w:val="center"/>
    </w:pPr>
    <w:rPr>
      <w:b/>
      <w:caps/>
    </w:rPr>
  </w:style>
  <w:style w:type="paragraph" w:customStyle="1" w:styleId="LexisNexisPara">
    <w:name w:val="LexisNexisPara"/>
    <w:basedOn w:val="LexisNexisBase"/>
    <w:qFormat/>
    <w:rsid w:val="00A33AA4"/>
  </w:style>
  <w:style w:type="paragraph" w:customStyle="1" w:styleId="LexisNexisPara1">
    <w:name w:val="LexisNexisPara1"/>
    <w:basedOn w:val="LexisNexisBase"/>
    <w:qFormat/>
    <w:rsid w:val="002C0E77"/>
    <w:pPr>
      <w:ind w:left="360"/>
    </w:pPr>
  </w:style>
  <w:style w:type="paragraph" w:customStyle="1" w:styleId="LexisNexisPara2">
    <w:name w:val="LexisNexisPara2"/>
    <w:basedOn w:val="LexisNexisBase"/>
    <w:qFormat/>
    <w:rsid w:val="002C0E77"/>
    <w:pPr>
      <w:ind w:left="936"/>
    </w:pPr>
  </w:style>
  <w:style w:type="paragraph" w:customStyle="1" w:styleId="LexisNexisPara3">
    <w:name w:val="LexisNexisPara3"/>
    <w:basedOn w:val="LexisNexisBase"/>
    <w:qFormat/>
    <w:rsid w:val="002C0E77"/>
    <w:pPr>
      <w:ind w:left="1440"/>
    </w:pPr>
  </w:style>
  <w:style w:type="paragraph" w:customStyle="1" w:styleId="LexisNexisPara4">
    <w:name w:val="LexisNexisPara4"/>
    <w:basedOn w:val="LexisNexisBase"/>
    <w:qFormat/>
    <w:rsid w:val="002C0E77"/>
    <w:pPr>
      <w:ind w:left="1944"/>
    </w:pPr>
  </w:style>
  <w:style w:type="paragraph" w:customStyle="1" w:styleId="LexisNexisList1">
    <w:name w:val="LexisNexisList1"/>
    <w:basedOn w:val="LexisNexisPara1"/>
    <w:qFormat/>
    <w:rsid w:val="006C7F77"/>
    <w:pPr>
      <w:numPr>
        <w:numId w:val="33"/>
      </w:numPr>
      <w:spacing w:before="360"/>
      <w:jc w:val="both"/>
    </w:pPr>
  </w:style>
  <w:style w:type="paragraph" w:customStyle="1" w:styleId="LexisNexisList2">
    <w:name w:val="LexisNexisList2"/>
    <w:basedOn w:val="LexisNexisPara2"/>
    <w:qFormat/>
    <w:rsid w:val="00252E2A"/>
    <w:pPr>
      <w:numPr>
        <w:ilvl w:val="1"/>
        <w:numId w:val="33"/>
      </w:numPr>
      <w:jc w:val="both"/>
    </w:pPr>
  </w:style>
  <w:style w:type="paragraph" w:customStyle="1" w:styleId="LexisNexisList3">
    <w:name w:val="LexisNexisList3"/>
    <w:basedOn w:val="LexisNexisPara3"/>
    <w:qFormat/>
    <w:rsid w:val="005F6030"/>
    <w:pPr>
      <w:numPr>
        <w:ilvl w:val="2"/>
        <w:numId w:val="33"/>
      </w:numPr>
    </w:pPr>
  </w:style>
  <w:style w:type="paragraph" w:customStyle="1" w:styleId="LexisNexisList4">
    <w:name w:val="LexisNexisList4"/>
    <w:basedOn w:val="LexisNexisPara4"/>
    <w:qFormat/>
    <w:rsid w:val="005F6030"/>
    <w:pPr>
      <w:numPr>
        <w:ilvl w:val="3"/>
        <w:numId w:val="33"/>
      </w:numPr>
    </w:pPr>
  </w:style>
  <w:style w:type="character" w:styleId="Hyperlink">
    <w:name w:val="Hyperlink"/>
    <w:basedOn w:val="DefaultParagraphFont"/>
    <w:uiPriority w:val="99"/>
    <w:unhideWhenUsed/>
    <w:rsid w:val="00F611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LexisNexisBase"/>
    <w:next w:val="LexisNexisPara"/>
    <w:autoRedefine/>
    <w:uiPriority w:val="39"/>
    <w:unhideWhenUsed/>
    <w:rsid w:val="00875F34"/>
    <w:pPr>
      <w:tabs>
        <w:tab w:val="right" w:leader="dot" w:pos="9350"/>
      </w:tabs>
    </w:pPr>
  </w:style>
  <w:style w:type="paragraph" w:styleId="Index1">
    <w:name w:val="index 1"/>
    <w:basedOn w:val="LexisNexisBase"/>
    <w:next w:val="Index2"/>
    <w:autoRedefine/>
    <w:uiPriority w:val="99"/>
    <w:semiHidden/>
    <w:unhideWhenUsed/>
    <w:rsid w:val="00EE0D4C"/>
    <w:pPr>
      <w:spacing w:after="0"/>
      <w:ind w:left="220" w:hanging="220"/>
    </w:pPr>
  </w:style>
  <w:style w:type="paragraph" w:styleId="Index2">
    <w:name w:val="index 2"/>
    <w:basedOn w:val="LexisNexisBase"/>
    <w:next w:val="LexisNexisBase"/>
    <w:autoRedefine/>
    <w:uiPriority w:val="99"/>
    <w:semiHidden/>
    <w:unhideWhenUsed/>
    <w:rsid w:val="00EE0D4C"/>
    <w:pPr>
      <w:spacing w:after="0"/>
      <w:ind w:left="440" w:hanging="220"/>
    </w:pPr>
  </w:style>
  <w:style w:type="paragraph" w:styleId="TOC2">
    <w:name w:val="toc 2"/>
    <w:basedOn w:val="LexisNexisBase"/>
    <w:next w:val="LexisNexisPara"/>
    <w:autoRedefine/>
    <w:uiPriority w:val="39"/>
    <w:unhideWhenUsed/>
    <w:rsid w:val="00875F34"/>
    <w:pPr>
      <w:ind w:left="216"/>
    </w:pPr>
  </w:style>
  <w:style w:type="paragraph" w:customStyle="1" w:styleId="LexisNexisSubTitle">
    <w:name w:val="LexisNexisSubTitle"/>
    <w:basedOn w:val="LexisNexisBase"/>
    <w:next w:val="LexisNexisList1"/>
    <w:qFormat/>
    <w:rsid w:val="00345CB0"/>
    <w:rPr>
      <w:b/>
    </w:rPr>
  </w:style>
  <w:style w:type="paragraph" w:customStyle="1" w:styleId="LexisNexisPageNumber">
    <w:name w:val="LexisNexisPageNumber"/>
    <w:basedOn w:val="LexisNexisBase"/>
    <w:qFormat/>
    <w:rsid w:val="003566F7"/>
    <w:pPr>
      <w:jc w:val="center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170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2E2A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170B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LexisNexisLetterhead">
    <w:name w:val="LexisNexisLetterhead"/>
    <w:basedOn w:val="Normal"/>
    <w:qFormat/>
    <w:rsid w:val="00D3634C"/>
    <w:pPr>
      <w:spacing w:after="360" w:line="384" w:lineRule="auto"/>
      <w:contextualSpacing/>
    </w:pPr>
    <w:rPr>
      <w:rFonts w:eastAsia="Calibri"/>
    </w:rPr>
  </w:style>
  <w:style w:type="paragraph" w:customStyle="1" w:styleId="LexisNexisRegarding">
    <w:name w:val="LexisNexisRegarding"/>
    <w:basedOn w:val="Normal"/>
    <w:next w:val="Normal"/>
    <w:qFormat/>
    <w:rsid w:val="00D3634C"/>
    <w:pPr>
      <w:spacing w:before="480" w:after="360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7800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0004"/>
  </w:style>
  <w:style w:type="paragraph" w:styleId="Footer">
    <w:name w:val="footer"/>
    <w:basedOn w:val="Normal"/>
    <w:link w:val="FooterChar"/>
    <w:uiPriority w:val="99"/>
    <w:unhideWhenUsed/>
    <w:rsid w:val="00780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004"/>
  </w:style>
  <w:style w:type="paragraph" w:customStyle="1" w:styleId="MarkUpIF1">
    <w:name w:val="MarkUpIF1"/>
    <w:basedOn w:val="Normal"/>
    <w:qFormat/>
    <w:rsid w:val="007D082F"/>
    <w:pPr>
      <w:pBdr>
        <w:top w:val="double" w:sz="4" w:space="1" w:color="76923C" w:themeColor="accent3" w:themeShade="BF"/>
        <w:left w:val="double" w:sz="4" w:space="4" w:color="76923C" w:themeColor="accent3" w:themeShade="BF"/>
        <w:bottom w:val="double" w:sz="4" w:space="1" w:color="76923C" w:themeColor="accent3" w:themeShade="BF"/>
        <w:right w:val="double" w:sz="4" w:space="4" w:color="76923C" w:themeColor="accent3" w:themeShade="BF"/>
      </w:pBdr>
      <w:spacing w:before="120" w:after="120"/>
    </w:pPr>
    <w:rPr>
      <w:color w:val="76923C" w:themeColor="accent3" w:themeShade="BF"/>
    </w:rPr>
  </w:style>
  <w:style w:type="paragraph" w:customStyle="1" w:styleId="MarkUpIF2">
    <w:name w:val="MarkUpIF2"/>
    <w:basedOn w:val="MarkUpIF1"/>
    <w:qFormat/>
    <w:rsid w:val="007D082F"/>
    <w:pPr>
      <w:pBdr>
        <w:top w:val="double" w:sz="4" w:space="1" w:color="5F497A" w:themeColor="accent4" w:themeShade="BF"/>
        <w:left w:val="double" w:sz="4" w:space="4" w:color="5F497A" w:themeColor="accent4" w:themeShade="BF"/>
        <w:bottom w:val="double" w:sz="4" w:space="1" w:color="5F497A" w:themeColor="accent4" w:themeShade="BF"/>
        <w:right w:val="double" w:sz="4" w:space="4" w:color="5F497A" w:themeColor="accent4" w:themeShade="BF"/>
      </w:pBdr>
      <w:ind w:left="720"/>
    </w:pPr>
    <w:rPr>
      <w:color w:val="7030A0"/>
    </w:rPr>
  </w:style>
  <w:style w:type="paragraph" w:customStyle="1" w:styleId="MarkUpIF3">
    <w:name w:val="MarkUpIF3"/>
    <w:basedOn w:val="MarkUpIF2"/>
    <w:qFormat/>
    <w:rsid w:val="007D082F"/>
    <w:pPr>
      <w:pBdr>
        <w:top w:val="double" w:sz="4" w:space="1" w:color="B8CCE4" w:themeColor="accent1" w:themeTint="66"/>
        <w:left w:val="double" w:sz="4" w:space="4" w:color="B8CCE4" w:themeColor="accent1" w:themeTint="66"/>
        <w:bottom w:val="double" w:sz="4" w:space="1" w:color="B8CCE4" w:themeColor="accent1" w:themeTint="66"/>
        <w:right w:val="double" w:sz="4" w:space="4" w:color="B8CCE4" w:themeColor="accent1" w:themeTint="66"/>
      </w:pBdr>
      <w:ind w:left="1440"/>
    </w:pPr>
    <w:rPr>
      <w:color w:val="548DD4" w:themeColor="text2" w:themeTint="99"/>
    </w:rPr>
  </w:style>
  <w:style w:type="paragraph" w:customStyle="1" w:styleId="MarkUpNote">
    <w:name w:val="MarkUpNote"/>
    <w:basedOn w:val="Normal"/>
    <w:qFormat/>
    <w:rsid w:val="007D082F"/>
    <w:pPr>
      <w:pBdr>
        <w:top w:val="double" w:sz="4" w:space="1" w:color="984806" w:themeColor="accent6" w:themeShade="80"/>
        <w:left w:val="double" w:sz="4" w:space="4" w:color="984806" w:themeColor="accent6" w:themeShade="80"/>
        <w:bottom w:val="double" w:sz="4" w:space="1" w:color="984806" w:themeColor="accent6" w:themeShade="80"/>
        <w:right w:val="double" w:sz="4" w:space="4" w:color="984806" w:themeColor="accent6" w:themeShade="80"/>
      </w:pBdr>
      <w:spacing w:before="120" w:after="120"/>
    </w:pPr>
    <w:rPr>
      <w:color w:val="984806" w:themeColor="accent6" w:themeShade="80"/>
    </w:rPr>
  </w:style>
  <w:style w:type="paragraph" w:customStyle="1" w:styleId="MarkUpRepeat">
    <w:name w:val="MarkUpRepeat"/>
    <w:basedOn w:val="Normal"/>
    <w:qFormat/>
    <w:rsid w:val="007D082F"/>
    <w:pPr>
      <w:pBdr>
        <w:top w:val="double" w:sz="4" w:space="1" w:color="920000"/>
        <w:left w:val="double" w:sz="4" w:space="4" w:color="920000"/>
        <w:bottom w:val="double" w:sz="4" w:space="1" w:color="920000"/>
        <w:right w:val="double" w:sz="4" w:space="4" w:color="920000"/>
      </w:pBdr>
      <w:spacing w:before="120" w:after="120"/>
    </w:pPr>
    <w:rPr>
      <w:color w:val="C40000"/>
    </w:rPr>
  </w:style>
  <w:style w:type="paragraph" w:customStyle="1" w:styleId="LexisNexisSignature">
    <w:name w:val="LexisNexisSignature"/>
    <w:basedOn w:val="Normal"/>
    <w:qFormat/>
    <w:rsid w:val="00907CA6"/>
    <w:pPr>
      <w:keepNext/>
      <w:keepLines/>
    </w:pPr>
  </w:style>
  <w:style w:type="character" w:customStyle="1" w:styleId="Heading4Char">
    <w:name w:val="Heading 4 Char"/>
    <w:basedOn w:val="DefaultParagraphFont"/>
    <w:link w:val="Heading4"/>
    <w:uiPriority w:val="9"/>
    <w:rsid w:val="007D082F"/>
    <w:rPr>
      <w:rFonts w:ascii="Times New Roman" w:eastAsiaTheme="majorEastAsia" w:hAnsi="Times New Roman" w:cstheme="majorBidi"/>
      <w:b/>
      <w:iCs/>
      <w:sz w:val="24"/>
    </w:rPr>
  </w:style>
  <w:style w:type="table" w:customStyle="1" w:styleId="TableGrid1">
    <w:name w:val="Table Grid1"/>
    <w:basedOn w:val="TableNormal"/>
    <w:next w:val="TableGrid"/>
    <w:uiPriority w:val="59"/>
    <w:rsid w:val="007D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xisNexisParaCentered">
    <w:name w:val="LexisNexisParaCentered"/>
    <w:basedOn w:val="LexisNexisPara"/>
    <w:next w:val="LexisNexisPara"/>
    <w:qFormat/>
    <w:rsid w:val="00B74E78"/>
    <w:pPr>
      <w:jc w:val="center"/>
    </w:pPr>
  </w:style>
  <w:style w:type="paragraph" w:customStyle="1" w:styleId="LexisNexisList7">
    <w:name w:val="LexisNexisList7"/>
    <w:basedOn w:val="LexisNexisPara1"/>
    <w:qFormat/>
    <w:rsid w:val="003C42A6"/>
    <w:pPr>
      <w:numPr>
        <w:ilvl w:val="6"/>
        <w:numId w:val="33"/>
      </w:numPr>
      <w:spacing w:before="240"/>
    </w:pPr>
  </w:style>
  <w:style w:type="paragraph" w:customStyle="1" w:styleId="LexisNexisList8">
    <w:name w:val="LexisNexisList8"/>
    <w:basedOn w:val="LexisNexisPara2"/>
    <w:qFormat/>
    <w:rsid w:val="003C42A6"/>
    <w:pPr>
      <w:numPr>
        <w:ilvl w:val="7"/>
        <w:numId w:val="33"/>
      </w:numPr>
    </w:pPr>
  </w:style>
  <w:style w:type="paragraph" w:customStyle="1" w:styleId="LexisNexisList9">
    <w:name w:val="LexisNexisList9"/>
    <w:basedOn w:val="LexisNexisPara3"/>
    <w:qFormat/>
    <w:rsid w:val="003C42A6"/>
    <w:pPr>
      <w:numPr>
        <w:ilvl w:val="8"/>
        <w:numId w:val="33"/>
      </w:numPr>
    </w:pPr>
  </w:style>
  <w:style w:type="paragraph" w:customStyle="1" w:styleId="LexisNexisList6">
    <w:name w:val="LexisNexisList6"/>
    <w:basedOn w:val="LexisNexisPara1"/>
    <w:next w:val="LexisNexisList7"/>
    <w:qFormat/>
    <w:rsid w:val="005242F6"/>
    <w:pPr>
      <w:keepNext/>
      <w:numPr>
        <w:ilvl w:val="5"/>
        <w:numId w:val="3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FA797E5AC7345AAE8D4A5F34A2B75" ma:contentTypeVersion="" ma:contentTypeDescription="Create a new document." ma:contentTypeScope="" ma:versionID="eb504fb1e6f50819ba38d6ac5f70d823">
  <xsd:schema xmlns:xsd="http://www.w3.org/2001/XMLSchema" xmlns:xs="http://www.w3.org/2001/XMLSchema" xmlns:p="http://schemas.microsoft.com/office/2006/metadata/properties" xmlns:ns2="44716092-eb90-4576-81bc-6665237cf32f" xmlns:ns3="6f2ba9ba-1db7-4d66-a3a5-fda90fa7354b" targetNamespace="http://schemas.microsoft.com/office/2006/metadata/properties" ma:root="true" ma:fieldsID="a9fdfddf1146bddab44cdb463531fb58" ns2:_="" ns3:_="">
    <xsd:import namespace="44716092-eb90-4576-81bc-6665237cf32f"/>
    <xsd:import namespace="6f2ba9ba-1db7-4d66-a3a5-fda90fa735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6092-eb90-4576-81bc-6665237cf3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ba9ba-1db7-4d66-a3a5-fda90fa73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48BE1-7757-4F66-8417-AA3976F40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04078B-38C9-4646-8ED1-275447D17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8A75CB-BF75-4EE4-9F9D-40FDF22590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BB1E0F-127F-441F-9A54-3CBE817FD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6092-eb90-4576-81bc-6665237cf32f"/>
    <ds:schemaRef ds:uri="6f2ba9ba-1db7-4d66-a3a5-fda90fa7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Myer, Susan M. (LNG-HBE)</dc:creator>
  <cp:lastModifiedBy>Richard Morris</cp:lastModifiedBy>
  <cp:revision>8</cp:revision>
  <dcterms:created xsi:type="dcterms:W3CDTF">2023-12-23T22:54:00Z</dcterms:created>
  <dcterms:modified xsi:type="dcterms:W3CDTF">2023-12-23T23:54:00Z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0x0101005E7FA797E5AC7345AAE8D4A5F34A2B75</vt:lpwstr>
  </property>
</Properties>
</file>